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02" w:rsidRPr="00540C91" w:rsidRDefault="00413C02" w:rsidP="00413C02">
      <w:pPr>
        <w:jc w:val="both"/>
        <w:rPr>
          <w:b/>
          <w:lang w:val="ro-RO"/>
        </w:rPr>
      </w:pPr>
      <w:r w:rsidRPr="00540C91">
        <w:rPr>
          <w:b/>
          <w:lang w:val="ro-RO"/>
        </w:rPr>
        <w:t>ANEXA</w:t>
      </w:r>
      <w:r>
        <w:rPr>
          <w:b/>
          <w:lang w:val="ro-RO"/>
        </w:rPr>
        <w:t xml:space="preserve"> nr. 1 la Act adițional nr. 28</w:t>
      </w:r>
      <w:r w:rsidRPr="00540C91">
        <w:rPr>
          <w:b/>
          <w:lang w:val="ro-RO"/>
        </w:rPr>
        <w:t>/2023</w:t>
      </w:r>
    </w:p>
    <w:p w:rsidR="00413C02" w:rsidRPr="00587755" w:rsidRDefault="00413C02" w:rsidP="00413C02">
      <w:pPr>
        <w:jc w:val="both"/>
        <w:rPr>
          <w:lang w:val="ro-RO"/>
        </w:rPr>
      </w:pPr>
      <w:r w:rsidRPr="00F60BB8">
        <w:rPr>
          <w:b/>
          <w:iCs/>
          <w:color w:val="000000"/>
          <w:lang w:val="ro-RO"/>
        </w:rPr>
        <w:t>Anexa nr. 30</w:t>
      </w:r>
      <w:r>
        <w:rPr>
          <w:iCs/>
          <w:color w:val="000000"/>
          <w:lang w:val="ro-RO"/>
        </w:rPr>
        <w:t xml:space="preserve"> la </w:t>
      </w:r>
      <w:r w:rsidRPr="00587755">
        <w:rPr>
          <w:color w:val="000000"/>
          <w:lang w:val="ro-RO"/>
        </w:rPr>
        <w:t>Caietul de sarcini al serviciului de salubrizare delegată</w:t>
      </w:r>
      <w:r w:rsidRPr="003E3D66">
        <w:rPr>
          <w:iCs/>
          <w:color w:val="000000"/>
          <w:lang w:val="ro-RO"/>
        </w:rPr>
        <w:t xml:space="preserve"> </w:t>
      </w:r>
      <w:r>
        <w:rPr>
          <w:iCs/>
          <w:color w:val="000000"/>
          <w:lang w:val="ro-RO"/>
        </w:rPr>
        <w:t xml:space="preserve">- </w:t>
      </w:r>
      <w:r w:rsidRPr="003E3D66">
        <w:rPr>
          <w:iCs/>
          <w:color w:val="000000"/>
          <w:lang w:val="ro-RO"/>
        </w:rPr>
        <w:t>Indicatori de performanță pentru serviciul pu</w:t>
      </w:r>
      <w:r>
        <w:rPr>
          <w:iCs/>
          <w:color w:val="000000"/>
          <w:lang w:val="ro-RO"/>
        </w:rPr>
        <w:t>blic de salubrizare</w:t>
      </w:r>
      <w:r w:rsidRPr="003E3D66">
        <w:rPr>
          <w:iCs/>
          <w:color w:val="000000"/>
          <w:lang w:val="ro-RO"/>
        </w:rPr>
        <w:t xml:space="preserve"> </w:t>
      </w:r>
      <w:r>
        <w:rPr>
          <w:iCs/>
          <w:color w:val="000000"/>
          <w:lang w:val="ro-RO"/>
        </w:rPr>
        <w:t xml:space="preserve">- </w:t>
      </w: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4470"/>
        <w:gridCol w:w="1413"/>
        <w:gridCol w:w="2481"/>
      </w:tblGrid>
      <w:tr w:rsidR="00413C02" w:rsidRPr="0092223B" w:rsidTr="00D231ED">
        <w:trPr>
          <w:jc w:val="center"/>
        </w:trPr>
        <w:tc>
          <w:tcPr>
            <w:tcW w:w="1738" w:type="dxa"/>
            <w:shd w:val="clear" w:color="auto" w:fill="D9D9D9"/>
            <w:vAlign w:val="center"/>
          </w:tcPr>
          <w:p w:rsidR="00413C02" w:rsidRPr="0092223B" w:rsidRDefault="00413C02" w:rsidP="00D231ED">
            <w:pPr>
              <w:autoSpaceDE w:val="0"/>
              <w:jc w:val="center"/>
              <w:rPr>
                <w:lang w:val="ro-RO"/>
              </w:rPr>
            </w:pPr>
            <w:bookmarkStart w:id="0" w:name="_Hlk147664069"/>
            <w:r w:rsidRPr="0092223B">
              <w:rPr>
                <w:color w:val="000000"/>
                <w:lang w:val="ro-RO"/>
              </w:rPr>
              <w:t>Activitatea serviciului de salubrizare</w:t>
            </w:r>
          </w:p>
        </w:tc>
        <w:tc>
          <w:tcPr>
            <w:tcW w:w="4470" w:type="dxa"/>
            <w:shd w:val="clear" w:color="auto" w:fill="D9D9D9"/>
            <w:vAlign w:val="center"/>
          </w:tcPr>
          <w:p w:rsidR="00413C02" w:rsidRPr="0092223B" w:rsidRDefault="00413C02" w:rsidP="00D231ED">
            <w:pPr>
              <w:autoSpaceDE w:val="0"/>
              <w:jc w:val="center"/>
              <w:rPr>
                <w:lang w:val="ro-RO"/>
              </w:rPr>
            </w:pPr>
            <w:r w:rsidRPr="0092223B">
              <w:rPr>
                <w:color w:val="000000"/>
                <w:lang w:val="ro-RO"/>
              </w:rPr>
              <w:t>Descrierea indicatorului</w:t>
            </w:r>
          </w:p>
        </w:tc>
        <w:tc>
          <w:tcPr>
            <w:tcW w:w="1413" w:type="dxa"/>
            <w:shd w:val="clear" w:color="auto" w:fill="D9D9D9"/>
            <w:vAlign w:val="center"/>
          </w:tcPr>
          <w:p w:rsidR="00413C02" w:rsidRPr="0092223B" w:rsidRDefault="00413C02" w:rsidP="00D231ED">
            <w:pPr>
              <w:autoSpaceDE w:val="0"/>
              <w:jc w:val="center"/>
              <w:rPr>
                <w:lang w:val="ro-RO"/>
              </w:rPr>
            </w:pPr>
            <w:r w:rsidRPr="0092223B">
              <w:rPr>
                <w:color w:val="000000"/>
                <w:lang w:val="ro-RO"/>
              </w:rPr>
              <w:t>Valoarea minimă a indicatorului</w:t>
            </w:r>
          </w:p>
        </w:tc>
        <w:tc>
          <w:tcPr>
            <w:tcW w:w="2481" w:type="dxa"/>
            <w:shd w:val="clear" w:color="auto" w:fill="D9D9D9"/>
            <w:vAlign w:val="center"/>
          </w:tcPr>
          <w:p w:rsidR="00413C02" w:rsidRPr="0092223B" w:rsidRDefault="00413C02" w:rsidP="00D231ED">
            <w:pPr>
              <w:autoSpaceDE w:val="0"/>
              <w:jc w:val="center"/>
              <w:rPr>
                <w:lang w:val="ro-RO"/>
              </w:rPr>
            </w:pPr>
            <w:r w:rsidRPr="0092223B">
              <w:rPr>
                <w:lang w:val="ro-RO"/>
              </w:rPr>
              <w:t>Penalitate</w:t>
            </w:r>
          </w:p>
        </w:tc>
      </w:tr>
      <w:tr w:rsidR="00413C02" w:rsidRPr="0092223B" w:rsidTr="00D231ED">
        <w:trPr>
          <w:jc w:val="center"/>
        </w:trPr>
        <w:tc>
          <w:tcPr>
            <w:tcW w:w="1738" w:type="dxa"/>
            <w:shd w:val="clear" w:color="auto" w:fill="auto"/>
          </w:tcPr>
          <w:p w:rsidR="00413C02" w:rsidRPr="0092223B" w:rsidRDefault="00413C02" w:rsidP="00D231ED">
            <w:pPr>
              <w:autoSpaceDE w:val="0"/>
              <w:jc w:val="both"/>
              <w:rPr>
                <w:lang w:val="ro-RO"/>
              </w:rPr>
            </w:pPr>
            <w:r w:rsidRPr="0092223B">
              <w:rPr>
                <w:color w:val="000000"/>
                <w:lang w:val="ro-RO"/>
              </w:rPr>
              <w:t xml:space="preserve">Colectarea separată a </w:t>
            </w:r>
            <w:proofErr w:type="spellStart"/>
            <w:r w:rsidRPr="0092223B">
              <w:rPr>
                <w:color w:val="000000"/>
                <w:lang w:val="ro-RO"/>
              </w:rPr>
              <w:t>deşeurilor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 prevăzute la art. 17 alin. (5) lit. g) și l).</w:t>
            </w:r>
          </w:p>
        </w:tc>
        <w:tc>
          <w:tcPr>
            <w:tcW w:w="4470" w:type="dxa"/>
            <w:shd w:val="clear" w:color="auto" w:fill="auto"/>
            <w:vAlign w:val="center"/>
          </w:tcPr>
          <w:p w:rsidR="00413C02" w:rsidRPr="0092223B" w:rsidRDefault="00413C02" w:rsidP="00D231ED">
            <w:pPr>
              <w:suppressAutoHyphens w:val="0"/>
              <w:jc w:val="both"/>
              <w:rPr>
                <w:color w:val="000000"/>
                <w:lang w:val="ro-RO"/>
              </w:rPr>
            </w:pPr>
            <w:r w:rsidRPr="0092223B">
              <w:rPr>
                <w:color w:val="000000"/>
                <w:lang w:val="ro-RO"/>
              </w:rPr>
              <w:t xml:space="preserve">Cantitatea de </w:t>
            </w:r>
            <w:proofErr w:type="spellStart"/>
            <w:r w:rsidRPr="0092223B">
              <w:rPr>
                <w:color w:val="000000"/>
                <w:lang w:val="ro-RO"/>
              </w:rPr>
              <w:t>deşeuri</w:t>
            </w:r>
            <w:proofErr w:type="spellEnd"/>
            <w:r w:rsidRPr="0092223B">
              <w:rPr>
                <w:color w:val="000000"/>
                <w:lang w:val="ro-RO"/>
              </w:rPr>
              <w:t xml:space="preserve"> de hârtie, metal, plastic şi sticlă din </w:t>
            </w:r>
            <w:proofErr w:type="spellStart"/>
            <w:r w:rsidRPr="0092223B">
              <w:rPr>
                <w:color w:val="000000"/>
                <w:lang w:val="ro-RO"/>
              </w:rPr>
              <w:t>deşeurile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municipale, colectate separat, ca procentaj din cantitatea totală generată de </w:t>
            </w:r>
            <w:proofErr w:type="spellStart"/>
            <w:r w:rsidRPr="0092223B">
              <w:rPr>
                <w:color w:val="000000"/>
                <w:lang w:val="ro-RO"/>
              </w:rPr>
              <w:t>deşeuri</w:t>
            </w:r>
            <w:proofErr w:type="spellEnd"/>
            <w:r w:rsidRPr="0092223B">
              <w:rPr>
                <w:color w:val="000000"/>
                <w:lang w:val="ro-RO"/>
              </w:rPr>
              <w:t xml:space="preserve"> de hârtie, metal, plastic şi sticlă din </w:t>
            </w:r>
            <w:proofErr w:type="spellStart"/>
            <w:r w:rsidRPr="0092223B">
              <w:rPr>
                <w:color w:val="000000"/>
                <w:lang w:val="ro-RO"/>
              </w:rPr>
              <w:t>deşeurile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municipale.</w:t>
            </w:r>
          </w:p>
          <w:p w:rsidR="00413C02" w:rsidRPr="0092223B" w:rsidRDefault="00413C02" w:rsidP="00D231ED">
            <w:pPr>
              <w:suppressAutoHyphens w:val="0"/>
              <w:jc w:val="both"/>
              <w:rPr>
                <w:color w:val="000000"/>
                <w:lang w:val="ro-RO"/>
              </w:rPr>
            </w:pPr>
            <w:r w:rsidRPr="0092223B">
              <w:rPr>
                <w:color w:val="000000"/>
                <w:lang w:val="ro-RO"/>
              </w:rPr>
              <w:t xml:space="preserve">Cantitatea de </w:t>
            </w:r>
            <w:proofErr w:type="spellStart"/>
            <w:r w:rsidRPr="0092223B">
              <w:rPr>
                <w:color w:val="000000"/>
                <w:lang w:val="ro-RO"/>
              </w:rPr>
              <w:t>deşeuri</w:t>
            </w:r>
            <w:proofErr w:type="spellEnd"/>
            <w:r w:rsidRPr="0092223B">
              <w:rPr>
                <w:color w:val="000000"/>
                <w:lang w:val="ro-RO"/>
              </w:rPr>
              <w:t xml:space="preserve"> de hârtie, metal, plastic şi sticlă din </w:t>
            </w:r>
            <w:proofErr w:type="spellStart"/>
            <w:r w:rsidRPr="0092223B">
              <w:rPr>
                <w:color w:val="000000"/>
                <w:lang w:val="ro-RO"/>
              </w:rPr>
              <w:t>deşeurile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 colectate separat reprezintă cantitatea acceptată într-un an calendaristic de către </w:t>
            </w:r>
            <w:proofErr w:type="spellStart"/>
            <w:r w:rsidRPr="0092223B">
              <w:rPr>
                <w:color w:val="000000"/>
                <w:lang w:val="ro-RO"/>
              </w:rPr>
              <w:t>staţia</w:t>
            </w:r>
            <w:proofErr w:type="spellEnd"/>
            <w:r w:rsidRPr="0092223B">
              <w:rPr>
                <w:color w:val="000000"/>
                <w:lang w:val="ro-RO"/>
              </w:rPr>
              <w:t>/</w:t>
            </w:r>
            <w:proofErr w:type="spellStart"/>
            <w:r w:rsidRPr="0092223B">
              <w:rPr>
                <w:color w:val="000000"/>
                <w:lang w:val="ro-RO"/>
              </w:rPr>
              <w:t>staţiile</w:t>
            </w:r>
            <w:proofErr w:type="spellEnd"/>
            <w:r w:rsidRPr="0092223B">
              <w:rPr>
                <w:color w:val="000000"/>
                <w:lang w:val="ro-RO"/>
              </w:rPr>
              <w:t xml:space="preserve"> de sortare.</w:t>
            </w:r>
          </w:p>
          <w:p w:rsidR="00413C02" w:rsidRPr="0092223B" w:rsidRDefault="00413C02" w:rsidP="00D231ED">
            <w:pPr>
              <w:suppressAutoHyphens w:val="0"/>
              <w:jc w:val="both"/>
              <w:rPr>
                <w:color w:val="000000"/>
                <w:lang w:val="ro-RO"/>
              </w:rPr>
            </w:pPr>
            <w:r w:rsidRPr="0092223B">
              <w:rPr>
                <w:color w:val="000000"/>
                <w:lang w:val="ro-RO"/>
              </w:rPr>
              <w:t xml:space="preserve">Cantitatea totală generată de </w:t>
            </w:r>
            <w:proofErr w:type="spellStart"/>
            <w:r w:rsidRPr="0092223B">
              <w:rPr>
                <w:color w:val="000000"/>
                <w:lang w:val="ro-RO"/>
              </w:rPr>
              <w:t>deşeuri</w:t>
            </w:r>
            <w:proofErr w:type="spellEnd"/>
            <w:r w:rsidRPr="0092223B">
              <w:rPr>
                <w:color w:val="000000"/>
                <w:lang w:val="ro-RO"/>
              </w:rPr>
              <w:t xml:space="preserve"> de hârtie, metal, plastic şi sticlă din </w:t>
            </w:r>
            <w:proofErr w:type="spellStart"/>
            <w:r w:rsidRPr="0092223B">
              <w:rPr>
                <w:color w:val="000000"/>
                <w:lang w:val="ro-RO"/>
              </w:rPr>
              <w:t>deşeurile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 se calculează pe baza determinărilor de </w:t>
            </w:r>
            <w:proofErr w:type="spellStart"/>
            <w:r w:rsidRPr="0092223B">
              <w:rPr>
                <w:color w:val="000000"/>
                <w:lang w:val="ro-RO"/>
              </w:rPr>
              <w:t>compoziţie</w:t>
            </w:r>
            <w:proofErr w:type="spellEnd"/>
            <w:r w:rsidRPr="0092223B">
              <w:rPr>
                <w:color w:val="000000"/>
                <w:lang w:val="ro-RO"/>
              </w:rPr>
              <w:t xml:space="preserve"> realizate de către operatorul de salubrizare.</w:t>
            </w:r>
          </w:p>
          <w:p w:rsidR="00413C02" w:rsidRPr="0092223B" w:rsidRDefault="00413C02" w:rsidP="00D231ED">
            <w:pPr>
              <w:autoSpaceDE w:val="0"/>
              <w:jc w:val="both"/>
              <w:rPr>
                <w:lang w:val="ro-RO"/>
              </w:rPr>
            </w:pPr>
            <w:r w:rsidRPr="0092223B">
              <w:rPr>
                <w:color w:val="000000"/>
                <w:lang w:val="ro-RO"/>
              </w:rPr>
              <w:t xml:space="preserve">În lipsa determinărilor de </w:t>
            </w:r>
            <w:proofErr w:type="spellStart"/>
            <w:r w:rsidRPr="0092223B">
              <w:rPr>
                <w:color w:val="000000"/>
                <w:lang w:val="ro-RO"/>
              </w:rPr>
              <w:t>compoziţie</w:t>
            </w:r>
            <w:proofErr w:type="spellEnd"/>
            <w:r w:rsidRPr="0092223B">
              <w:rPr>
                <w:color w:val="000000"/>
                <w:lang w:val="ro-RO"/>
              </w:rPr>
              <w:t xml:space="preserve"> a </w:t>
            </w:r>
            <w:proofErr w:type="spellStart"/>
            <w:r w:rsidRPr="0092223B">
              <w:rPr>
                <w:color w:val="000000"/>
                <w:lang w:val="ro-RO"/>
              </w:rPr>
              <w:t>deşeurilor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municipale, cantitatea de </w:t>
            </w:r>
            <w:proofErr w:type="spellStart"/>
            <w:r w:rsidRPr="0092223B">
              <w:rPr>
                <w:color w:val="000000"/>
                <w:lang w:val="ro-RO"/>
              </w:rPr>
              <w:t>deşeuri</w:t>
            </w:r>
            <w:proofErr w:type="spellEnd"/>
            <w:r w:rsidRPr="0092223B">
              <w:rPr>
                <w:color w:val="000000"/>
                <w:lang w:val="ro-RO"/>
              </w:rPr>
              <w:t xml:space="preserve"> de hârtie, metal, plastic şi sticlă din </w:t>
            </w:r>
            <w:proofErr w:type="spellStart"/>
            <w:r w:rsidRPr="0092223B">
              <w:rPr>
                <w:color w:val="000000"/>
                <w:lang w:val="ro-RO"/>
              </w:rPr>
              <w:t>deşeurile</w:t>
            </w:r>
            <w:proofErr w:type="spellEnd"/>
            <w:r w:rsidRPr="0092223B">
              <w:rPr>
                <w:color w:val="000000"/>
                <w:lang w:val="ro-RO"/>
              </w:rPr>
              <w:t xml:space="preserve"> municipale se consideră a fi 33%.</w:t>
            </w:r>
          </w:p>
        </w:tc>
        <w:tc>
          <w:tcPr>
            <w:tcW w:w="1413" w:type="dxa"/>
            <w:shd w:val="clear" w:color="auto" w:fill="auto"/>
          </w:tcPr>
          <w:p w:rsidR="00413C02" w:rsidRPr="0092223B" w:rsidRDefault="00413C02" w:rsidP="00D231ED">
            <w:pPr>
              <w:autoSpaceDE w:val="0"/>
              <w:jc w:val="both"/>
              <w:rPr>
                <w:lang w:val="ro-RO"/>
              </w:rPr>
            </w:pPr>
            <w:r w:rsidRPr="0092223B">
              <w:rPr>
                <w:color w:val="000000"/>
                <w:lang w:val="ro-RO"/>
              </w:rPr>
              <w:t>70% începând cu anul 2022</w:t>
            </w:r>
          </w:p>
        </w:tc>
        <w:tc>
          <w:tcPr>
            <w:tcW w:w="2481" w:type="dxa"/>
            <w:shd w:val="clear" w:color="auto" w:fill="auto"/>
          </w:tcPr>
          <w:p w:rsidR="00413C02" w:rsidRPr="0092223B" w:rsidRDefault="00413C02" w:rsidP="00D231ED">
            <w:pPr>
              <w:jc w:val="both"/>
              <w:rPr>
                <w:lang w:val="ro-RO"/>
              </w:rPr>
            </w:pPr>
            <w:r w:rsidRPr="00187D8F">
              <w:rPr>
                <w:color w:val="000000"/>
                <w:shd w:val="clear" w:color="auto" w:fill="FFFFFF"/>
                <w:lang w:val="ro-RO"/>
              </w:rPr>
              <w:t xml:space="preserve">Contravaloarea cheltuielilor cu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contribuţia</w:t>
            </w:r>
            <w:proofErr w:type="spellEnd"/>
            <w:r w:rsidRPr="00187D8F">
              <w:rPr>
                <w:color w:val="000000"/>
                <w:shd w:val="clear" w:color="auto" w:fill="FFFFFF"/>
                <w:lang w:val="ro-RO"/>
              </w:rPr>
              <w:t xml:space="preserve"> pentru economia circulară pentru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cantităţile</w:t>
            </w:r>
            <w:proofErr w:type="spellEnd"/>
            <w:r w:rsidRPr="00187D8F">
              <w:rPr>
                <w:color w:val="000000"/>
                <w:shd w:val="clear" w:color="auto" w:fill="FFFFFF"/>
                <w:lang w:val="ro-RO"/>
              </w:rPr>
              <w:t xml:space="preserve"> de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deşeuri</w:t>
            </w:r>
            <w:proofErr w:type="spellEnd"/>
            <w:r w:rsidRPr="00187D8F">
              <w:rPr>
                <w:color w:val="000000"/>
                <w:shd w:val="clear" w:color="auto" w:fill="FFFFFF"/>
                <w:lang w:val="ro-RO"/>
              </w:rPr>
              <w:t xml:space="preserve"> municipale destinate a fi depozitate care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depăşesc</w:t>
            </w:r>
            <w:proofErr w:type="spellEnd"/>
            <w:r w:rsidRPr="00187D8F">
              <w:rPr>
                <w:color w:val="000000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cantităţile</w:t>
            </w:r>
            <w:proofErr w:type="spellEnd"/>
            <w:r w:rsidRPr="00187D8F">
              <w:rPr>
                <w:color w:val="000000"/>
                <w:shd w:val="clear" w:color="auto" w:fill="FFFFFF"/>
                <w:lang w:val="ro-RO"/>
              </w:rPr>
              <w:t xml:space="preserve"> corespunzătoare indicatorilor de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performanţă</w:t>
            </w:r>
            <w:proofErr w:type="spellEnd"/>
            <w:r w:rsidRPr="00187D8F">
              <w:rPr>
                <w:color w:val="000000"/>
                <w:shd w:val="clear" w:color="auto" w:fill="FFFFFF"/>
                <w:lang w:val="ro-RO"/>
              </w:rPr>
              <w:t xml:space="preserve"> inclusiv cheltuielile aferente cu depozitarea acestor </w:t>
            </w:r>
            <w:proofErr w:type="spellStart"/>
            <w:r w:rsidRPr="00187D8F">
              <w:rPr>
                <w:color w:val="000000"/>
                <w:shd w:val="clear" w:color="auto" w:fill="FFFFFF"/>
                <w:lang w:val="ro-RO"/>
              </w:rPr>
              <w:t>deşeuri</w:t>
            </w:r>
            <w:proofErr w:type="spellEnd"/>
            <w:r w:rsidRPr="0092223B">
              <w:rPr>
                <w:lang w:val="ro-RO"/>
              </w:rPr>
              <w:t>.</w:t>
            </w:r>
          </w:p>
          <w:p w:rsidR="00413C02" w:rsidRPr="0092223B" w:rsidRDefault="00413C02" w:rsidP="00D231ED">
            <w:pPr>
              <w:jc w:val="both"/>
              <w:rPr>
                <w:lang w:val="ro-RO"/>
              </w:rPr>
            </w:pPr>
          </w:p>
          <w:p w:rsidR="00413C02" w:rsidRPr="0092223B" w:rsidRDefault="00413C02" w:rsidP="00D231ED">
            <w:pPr>
              <w:autoSpaceDE w:val="0"/>
              <w:jc w:val="both"/>
              <w:rPr>
                <w:lang w:val="ro-RO"/>
              </w:rPr>
            </w:pPr>
            <w:r w:rsidRPr="0092223B">
              <w:rPr>
                <w:lang w:val="ro-RO"/>
              </w:rPr>
              <w:t>Aplicarea penalităților se realizează prin faptul că, operatorul S.C.TEGA S.A., nu va factura utilizatorilor contravaloarea cheltuielilor de depozitare pentru diferența de cantitate rezultată prin aplicarea indicatorului de performanță.</w:t>
            </w:r>
          </w:p>
        </w:tc>
      </w:tr>
      <w:bookmarkEnd w:id="0"/>
    </w:tbl>
    <w:p w:rsidR="00413C02" w:rsidRPr="00200A33" w:rsidRDefault="00413C02" w:rsidP="00413C02">
      <w:pPr>
        <w:rPr>
          <w:vanish/>
        </w:rPr>
      </w:pPr>
    </w:p>
    <w:tbl>
      <w:tblPr>
        <w:tblpPr w:leftFromText="180" w:rightFromText="180" w:vertAnchor="text" w:horzAnchor="margin" w:tblpXSpec="center" w:tblpY="165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3846"/>
        <w:gridCol w:w="1829"/>
      </w:tblGrid>
      <w:tr w:rsidR="00413C02" w:rsidRPr="00540C91" w:rsidTr="00D231ED">
        <w:tc>
          <w:tcPr>
            <w:tcW w:w="4390" w:type="dxa"/>
            <w:shd w:val="clear" w:color="auto" w:fill="auto"/>
            <w:vAlign w:val="center"/>
          </w:tcPr>
          <w:p w:rsidR="00413C02" w:rsidRPr="00540C91" w:rsidRDefault="00413C02" w:rsidP="00D231ED">
            <w:pPr>
              <w:autoSpaceDE w:val="0"/>
              <w:jc w:val="both"/>
              <w:rPr>
                <w:rFonts w:eastAsia="Times New Roman"/>
                <w:lang w:val="ro-RO"/>
              </w:rPr>
            </w:pPr>
            <w:r w:rsidRPr="00540C91">
              <w:rPr>
                <w:color w:val="000000"/>
                <w:lang w:val="ro-RO"/>
              </w:rPr>
              <w:t xml:space="preserve">Colectarea şi transportul </w:t>
            </w:r>
            <w:proofErr w:type="spellStart"/>
            <w:r w:rsidRPr="00540C91">
              <w:rPr>
                <w:color w:val="000000"/>
                <w:lang w:val="ro-RO"/>
              </w:rPr>
              <w:t>deşeurilor</w:t>
            </w:r>
            <w:proofErr w:type="spellEnd"/>
            <w:r w:rsidRPr="00540C91">
              <w:rPr>
                <w:color w:val="000000"/>
                <w:lang w:val="ro-RO"/>
              </w:rPr>
              <w:t xml:space="preserve"> provenite din </w:t>
            </w:r>
            <w:proofErr w:type="spellStart"/>
            <w:r w:rsidRPr="00540C91">
              <w:rPr>
                <w:color w:val="000000"/>
                <w:lang w:val="ro-RO"/>
              </w:rPr>
              <w:t>locuinţe</w:t>
            </w:r>
            <w:proofErr w:type="spellEnd"/>
            <w:r w:rsidRPr="00540C91">
              <w:rPr>
                <w:color w:val="000000"/>
                <w:lang w:val="ro-RO"/>
              </w:rPr>
              <w:t xml:space="preserve">, generate de </w:t>
            </w:r>
            <w:proofErr w:type="spellStart"/>
            <w:r w:rsidRPr="00540C91">
              <w:rPr>
                <w:color w:val="000000"/>
                <w:lang w:val="ro-RO"/>
              </w:rPr>
              <w:t>activităţi</w:t>
            </w:r>
            <w:proofErr w:type="spellEnd"/>
            <w:r w:rsidRPr="00540C91">
              <w:rPr>
                <w:color w:val="000000"/>
                <w:lang w:val="ro-RO"/>
              </w:rPr>
              <w:t xml:space="preserve"> de reamenajare şi reabilitare interioară şi/sau exterioară a acestora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413C02" w:rsidRPr="00540C91" w:rsidRDefault="00413C02" w:rsidP="00D231ED">
            <w:pPr>
              <w:autoSpaceDE w:val="0"/>
              <w:jc w:val="both"/>
              <w:rPr>
                <w:rFonts w:eastAsia="Times New Roman"/>
                <w:lang w:val="ro-RO"/>
              </w:rPr>
            </w:pPr>
            <w:r w:rsidRPr="00540C91">
              <w:rPr>
                <w:color w:val="000000"/>
                <w:lang w:val="ro-RO"/>
              </w:rPr>
              <w:t xml:space="preserve">Cantitatea totală de </w:t>
            </w:r>
            <w:proofErr w:type="spellStart"/>
            <w:r w:rsidRPr="00540C91">
              <w:rPr>
                <w:color w:val="000000"/>
                <w:lang w:val="ro-RO"/>
              </w:rPr>
              <w:t>deşeuri</w:t>
            </w:r>
            <w:proofErr w:type="spellEnd"/>
            <w:r w:rsidRPr="00540C91">
              <w:rPr>
                <w:color w:val="000000"/>
                <w:lang w:val="ro-RO"/>
              </w:rPr>
              <w:t xml:space="preserve"> provenite din </w:t>
            </w:r>
            <w:proofErr w:type="spellStart"/>
            <w:r w:rsidRPr="00540C91">
              <w:rPr>
                <w:color w:val="000000"/>
                <w:lang w:val="ro-RO"/>
              </w:rPr>
              <w:t>locuinţe</w:t>
            </w:r>
            <w:proofErr w:type="spellEnd"/>
            <w:r w:rsidRPr="00540C91">
              <w:rPr>
                <w:color w:val="000000"/>
                <w:lang w:val="ro-RO"/>
              </w:rPr>
              <w:t xml:space="preserve">, generate de </w:t>
            </w:r>
            <w:proofErr w:type="spellStart"/>
            <w:r w:rsidRPr="00540C91">
              <w:rPr>
                <w:color w:val="000000"/>
                <w:lang w:val="ro-RO"/>
              </w:rPr>
              <w:t>activităţi</w:t>
            </w:r>
            <w:proofErr w:type="spellEnd"/>
            <w:r w:rsidRPr="00540C91">
              <w:rPr>
                <w:color w:val="000000"/>
                <w:lang w:val="ro-RO"/>
              </w:rPr>
              <w:t xml:space="preserve"> de reamenajare şi reabilitare interioară şi/sau exterioară a acestora, predată pentru reutilizare, reciclare şi alte </w:t>
            </w:r>
            <w:proofErr w:type="spellStart"/>
            <w:r w:rsidRPr="00540C91">
              <w:rPr>
                <w:color w:val="000000"/>
                <w:lang w:val="ro-RO"/>
              </w:rPr>
              <w:t>operaţiuni</w:t>
            </w:r>
            <w:proofErr w:type="spellEnd"/>
            <w:r w:rsidRPr="00540C91">
              <w:rPr>
                <w:color w:val="000000"/>
                <w:lang w:val="ro-RO"/>
              </w:rPr>
              <w:t xml:space="preserve"> de valorificare materială, inclusiv </w:t>
            </w:r>
            <w:proofErr w:type="spellStart"/>
            <w:r w:rsidRPr="00540C91">
              <w:rPr>
                <w:color w:val="000000"/>
                <w:lang w:val="ro-RO"/>
              </w:rPr>
              <w:t>operaţiuni</w:t>
            </w:r>
            <w:proofErr w:type="spellEnd"/>
            <w:r w:rsidRPr="00540C91">
              <w:rPr>
                <w:color w:val="000000"/>
                <w:lang w:val="ro-RO"/>
              </w:rPr>
              <w:t xml:space="preserve"> de umplere, rambleiere, direct sau prin intermediul unei </w:t>
            </w:r>
            <w:proofErr w:type="spellStart"/>
            <w:r w:rsidRPr="00540C91">
              <w:rPr>
                <w:color w:val="000000"/>
                <w:lang w:val="ro-RO"/>
              </w:rPr>
              <w:t>staţii</w:t>
            </w:r>
            <w:proofErr w:type="spellEnd"/>
            <w:r w:rsidRPr="00540C91">
              <w:rPr>
                <w:color w:val="000000"/>
                <w:lang w:val="ro-RO"/>
              </w:rPr>
              <w:t xml:space="preserve"> de transfer ca procentaj din cantitatea de </w:t>
            </w:r>
            <w:proofErr w:type="spellStart"/>
            <w:r w:rsidRPr="00540C91">
              <w:rPr>
                <w:color w:val="000000"/>
                <w:lang w:val="ro-RO"/>
              </w:rPr>
              <w:t>deşeuri</w:t>
            </w:r>
            <w:proofErr w:type="spellEnd"/>
            <w:r w:rsidRPr="00540C91">
              <w:rPr>
                <w:color w:val="000000"/>
                <w:lang w:val="ro-RO"/>
              </w:rPr>
              <w:t xml:space="preserve"> provenite din </w:t>
            </w:r>
            <w:proofErr w:type="spellStart"/>
            <w:r w:rsidRPr="00540C91">
              <w:rPr>
                <w:color w:val="000000"/>
                <w:lang w:val="ro-RO"/>
              </w:rPr>
              <w:t>locuinţe</w:t>
            </w:r>
            <w:proofErr w:type="spellEnd"/>
            <w:r w:rsidRPr="00540C91">
              <w:rPr>
                <w:color w:val="000000"/>
                <w:lang w:val="ro-RO"/>
              </w:rPr>
              <w:t xml:space="preserve">, generate de </w:t>
            </w:r>
            <w:proofErr w:type="spellStart"/>
            <w:r w:rsidRPr="00540C91">
              <w:rPr>
                <w:color w:val="000000"/>
                <w:lang w:val="ro-RO"/>
              </w:rPr>
              <w:t>activităţi</w:t>
            </w:r>
            <w:proofErr w:type="spellEnd"/>
            <w:r w:rsidRPr="00540C91">
              <w:rPr>
                <w:color w:val="000000"/>
                <w:lang w:val="ro-RO"/>
              </w:rPr>
              <w:t xml:space="preserve"> de reamenajare şi reabilitare interioară şi/sau exterioară a acestora colectate (%).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13C02" w:rsidRPr="004C7254" w:rsidRDefault="00413C02" w:rsidP="00413C02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contextualSpacing/>
              <w:jc w:val="both"/>
              <w:rPr>
                <w:rFonts w:eastAsia="Calibri"/>
                <w:lang w:val="ro-RO" w:eastAsia="en-US"/>
              </w:rPr>
            </w:pPr>
            <w:r>
              <w:rPr>
                <w:color w:val="000000"/>
                <w:lang w:val="ro-RO" w:eastAsia="en-US"/>
              </w:rPr>
              <w:t xml:space="preserve">  </w:t>
            </w:r>
            <w:r>
              <w:rPr>
                <w:rFonts w:eastAsia="Calibri"/>
                <w:lang w:val="ro-RO" w:eastAsia="en-US"/>
              </w:rPr>
              <w:t xml:space="preserve">   </w:t>
            </w:r>
            <w:r w:rsidRPr="004C7254">
              <w:rPr>
                <w:color w:val="000000"/>
                <w:lang w:val="ro-RO" w:eastAsia="en-US"/>
              </w:rPr>
              <w:t>70%</w:t>
            </w:r>
          </w:p>
        </w:tc>
      </w:tr>
    </w:tbl>
    <w:p w:rsidR="00413C02" w:rsidRDefault="00413C02" w:rsidP="00413C02">
      <w:pPr>
        <w:jc w:val="both"/>
        <w:rPr>
          <w:lang w:val="ro-RO"/>
        </w:rPr>
      </w:pPr>
    </w:p>
    <w:p w:rsidR="00201EA0" w:rsidRDefault="00201EA0" w:rsidP="00413C02">
      <w:bookmarkStart w:id="1" w:name="_GoBack"/>
      <w:bookmarkEnd w:id="1"/>
    </w:p>
    <w:sectPr w:rsidR="00201EA0" w:rsidSect="00413C02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339B7"/>
    <w:multiLevelType w:val="hybridMultilevel"/>
    <w:tmpl w:val="B2DE9DDE"/>
    <w:lvl w:ilvl="0" w:tplc="E0C68A5E">
      <w:start w:val="2020"/>
      <w:numFmt w:val="decimal"/>
      <w:lvlText w:val="%1"/>
      <w:lvlJc w:val="left"/>
      <w:pPr>
        <w:ind w:left="840" w:hanging="480"/>
      </w:pPr>
      <w:rPr>
        <w:rFonts w:eastAsia="Lucida Sans Unicode" w:hint="default"/>
        <w:color w:val="00000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02"/>
    <w:rsid w:val="00201EA0"/>
    <w:rsid w:val="00413C02"/>
    <w:rsid w:val="006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EB20"/>
  <w15:chartTrackingRefBased/>
  <w15:docId w15:val="{6EA9D1C0-0E2E-4D35-8F03-143B14B5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C0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Szabo Kinga</cp:lastModifiedBy>
  <cp:revision>1</cp:revision>
  <dcterms:created xsi:type="dcterms:W3CDTF">2023-11-08T11:39:00Z</dcterms:created>
  <dcterms:modified xsi:type="dcterms:W3CDTF">2023-11-08T11:39:00Z</dcterms:modified>
</cp:coreProperties>
</file>