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F69" w:rsidRPr="0052453E" w:rsidRDefault="00B64F69" w:rsidP="00531FC9">
      <w:pPr>
        <w:autoSpaceDE w:val="0"/>
        <w:autoSpaceDN w:val="0"/>
        <w:adjustRightInd w:val="0"/>
        <w:spacing w:before="240"/>
        <w:ind w:right="-1"/>
        <w:rPr>
          <w:rFonts w:ascii="ArialNarrow-Bold" w:hAnsi="ArialNarrow-Bold" w:cs="ArialNarrow-Bold"/>
          <w:b/>
          <w:bCs/>
          <w:noProof/>
        </w:rPr>
      </w:pPr>
      <w:r w:rsidRPr="0052453E">
        <w:rPr>
          <w:b/>
          <w:bCs/>
          <w:noProof/>
        </w:rPr>
        <w:t xml:space="preserve">Nr. înreg: </w:t>
      </w:r>
      <w:r w:rsidRPr="008B4A53">
        <w:rPr>
          <w:b/>
          <w:bCs/>
          <w:noProof/>
        </w:rPr>
        <w:t>12330/23.02.2022</w:t>
      </w:r>
    </w:p>
    <w:p w:rsidR="00B64F69" w:rsidRPr="00D71E19" w:rsidRDefault="00B64F69" w:rsidP="00531FC9">
      <w:pPr>
        <w:autoSpaceDE w:val="0"/>
        <w:autoSpaceDN w:val="0"/>
        <w:adjustRightInd w:val="0"/>
        <w:ind w:right="-1"/>
        <w:rPr>
          <w:rFonts w:ascii="ArialNarrow-Bold" w:hAnsi="ArialNarrow-Bold" w:cs="ArialNarrow-Bold"/>
          <w:b/>
          <w:bCs/>
          <w:noProof/>
          <w:color w:val="000000"/>
          <w:sz w:val="20"/>
          <w:szCs w:val="20"/>
        </w:rPr>
      </w:pPr>
    </w:p>
    <w:p w:rsidR="00B64F69" w:rsidRDefault="00B64F69" w:rsidP="00531FC9">
      <w:pPr>
        <w:autoSpaceDE w:val="0"/>
        <w:autoSpaceDN w:val="0"/>
        <w:adjustRightInd w:val="0"/>
        <w:ind w:right="-1"/>
        <w:jc w:val="center"/>
        <w:rPr>
          <w:b/>
          <w:bCs/>
          <w:noProof/>
          <w:color w:val="000000"/>
          <w:sz w:val="28"/>
          <w:szCs w:val="28"/>
        </w:rPr>
      </w:pPr>
      <w:r w:rsidRPr="00D71E19">
        <w:rPr>
          <w:b/>
          <w:bCs/>
          <w:noProof/>
          <w:color w:val="000000"/>
          <w:sz w:val="28"/>
          <w:szCs w:val="28"/>
        </w:rPr>
        <w:t>PROIECT DE HOTĂRÂRE</w:t>
      </w:r>
    </w:p>
    <w:p w:rsidR="00531FC9" w:rsidRPr="00D71E19" w:rsidRDefault="00531FC9" w:rsidP="00531FC9">
      <w:pPr>
        <w:autoSpaceDE w:val="0"/>
        <w:autoSpaceDN w:val="0"/>
        <w:adjustRightInd w:val="0"/>
        <w:ind w:right="-1"/>
        <w:jc w:val="center"/>
        <w:rPr>
          <w:b/>
          <w:bCs/>
          <w:noProof/>
          <w:color w:val="000000"/>
          <w:sz w:val="28"/>
          <w:szCs w:val="28"/>
        </w:rPr>
      </w:pPr>
    </w:p>
    <w:p w:rsidR="00B64F69" w:rsidRPr="00D71E19" w:rsidRDefault="00B64F69" w:rsidP="00531FC9">
      <w:pPr>
        <w:ind w:right="-1"/>
        <w:jc w:val="center"/>
        <w:rPr>
          <w:b/>
          <w:bCs/>
          <w:noProof/>
        </w:rPr>
      </w:pPr>
      <w:r w:rsidRPr="00D71E19">
        <w:rPr>
          <w:b/>
          <w:bCs/>
          <w:noProof/>
        </w:rPr>
        <w:t xml:space="preserve">privind </w:t>
      </w:r>
      <w:r>
        <w:rPr>
          <w:b/>
          <w:bCs/>
          <w:noProof/>
        </w:rPr>
        <w:t>Procentul de Ocupare al Terenului progresiv pentru construcții cu funcțiuni mixte și de locuire din municipiul Sfântu Gheorghe</w:t>
      </w:r>
    </w:p>
    <w:p w:rsidR="00B64F69" w:rsidRPr="00D71E19" w:rsidRDefault="00B64F69" w:rsidP="00531FC9">
      <w:pPr>
        <w:ind w:right="-1"/>
        <w:rPr>
          <w:noProof/>
        </w:rPr>
      </w:pPr>
    </w:p>
    <w:p w:rsidR="00B64F69" w:rsidRPr="00D71E19" w:rsidRDefault="00531FC9" w:rsidP="00531FC9">
      <w:pPr>
        <w:pStyle w:val="NormalWeb"/>
        <w:spacing w:before="0" w:beforeAutospacing="0" w:after="0" w:afterAutospacing="0"/>
        <w:ind w:right="-1"/>
        <w:jc w:val="both"/>
        <w:rPr>
          <w:b/>
          <w:bCs/>
          <w:noProof/>
          <w:color w:val="000000"/>
          <w:lang w:val="ro-RO"/>
        </w:rPr>
      </w:pPr>
      <w:r>
        <w:rPr>
          <w:b/>
          <w:bCs/>
          <w:noProof/>
          <w:color w:val="000000"/>
          <w:lang w:val="ro-RO"/>
        </w:rPr>
        <w:tab/>
      </w:r>
      <w:r w:rsidR="00B64F69" w:rsidRPr="00D71E19">
        <w:rPr>
          <w:b/>
          <w:bCs/>
          <w:noProof/>
          <w:color w:val="000000"/>
          <w:lang w:val="ro-RO"/>
        </w:rPr>
        <w:t>Consiliul Local al Municipiului Sfântu Gheorghe, în şedinţă ordinară:</w:t>
      </w:r>
    </w:p>
    <w:p w:rsidR="00B64F69" w:rsidRPr="00D71E19" w:rsidRDefault="00531FC9" w:rsidP="00531FC9">
      <w:pPr>
        <w:ind w:right="-1"/>
        <w:jc w:val="both"/>
        <w:rPr>
          <w:noProof/>
        </w:rPr>
      </w:pPr>
      <w:r>
        <w:rPr>
          <w:noProof/>
          <w:snapToGrid w:val="0"/>
        </w:rPr>
        <w:tab/>
      </w:r>
      <w:r w:rsidR="00B64F69" w:rsidRPr="00D71E19">
        <w:rPr>
          <w:noProof/>
          <w:snapToGrid w:val="0"/>
        </w:rPr>
        <w:t xml:space="preserve">Având în vedere Referatul de aprobare nr. </w:t>
      </w:r>
      <w:r w:rsidR="00B64F69" w:rsidRPr="008B4A53">
        <w:rPr>
          <w:noProof/>
          <w:snapToGrid w:val="0"/>
        </w:rPr>
        <w:t>12328/23.02.2022</w:t>
      </w:r>
      <w:r w:rsidR="00B64F69" w:rsidRPr="00EA61DD">
        <w:rPr>
          <w:noProof/>
          <w:snapToGrid w:val="0"/>
        </w:rPr>
        <w:t xml:space="preserve"> </w:t>
      </w:r>
      <w:r w:rsidR="00B477DE">
        <w:rPr>
          <w:noProof/>
          <w:snapToGrid w:val="0"/>
        </w:rPr>
        <w:t>al primarului m</w:t>
      </w:r>
      <w:r w:rsidR="00B64F69" w:rsidRPr="00D71E19">
        <w:rPr>
          <w:noProof/>
          <w:snapToGrid w:val="0"/>
        </w:rPr>
        <w:t>unicipiului, dl. Antal Árpád - András;</w:t>
      </w:r>
    </w:p>
    <w:p w:rsidR="00B64F69" w:rsidRPr="00D71E19" w:rsidRDefault="00531FC9" w:rsidP="00531FC9">
      <w:pPr>
        <w:autoSpaceDE w:val="0"/>
        <w:autoSpaceDN w:val="0"/>
        <w:adjustRightInd w:val="0"/>
        <w:ind w:right="-1"/>
        <w:jc w:val="both"/>
        <w:rPr>
          <w:b/>
          <w:bCs/>
          <w:noProof/>
        </w:rPr>
      </w:pPr>
      <w:r>
        <w:rPr>
          <w:noProof/>
        </w:rPr>
        <w:tab/>
      </w:r>
      <w:r w:rsidR="00B64F69" w:rsidRPr="00D71E19">
        <w:rPr>
          <w:noProof/>
        </w:rPr>
        <w:t xml:space="preserve">Având în vedere Raportul de specialitate nr. </w:t>
      </w:r>
      <w:r w:rsidR="00B64F69" w:rsidRPr="008B4A53">
        <w:rPr>
          <w:noProof/>
        </w:rPr>
        <w:t>12329/23.02.2022</w:t>
      </w:r>
      <w:r w:rsidR="007E2E64">
        <w:rPr>
          <w:noProof/>
        </w:rPr>
        <w:t>, întocmit de către arhitectul șef al m</w:t>
      </w:r>
      <w:r w:rsidR="00B64F69" w:rsidRPr="00D71E19">
        <w:rPr>
          <w:noProof/>
        </w:rPr>
        <w:t>unicipiului Sfânt</w:t>
      </w:r>
      <w:bookmarkStart w:id="0" w:name="_GoBack"/>
      <w:bookmarkEnd w:id="0"/>
      <w:r w:rsidR="00B64F69" w:rsidRPr="00D71E19">
        <w:rPr>
          <w:noProof/>
        </w:rPr>
        <w:t>u Gheorghe;</w:t>
      </w:r>
    </w:p>
    <w:p w:rsidR="00B64F69" w:rsidRDefault="00531FC9" w:rsidP="00531FC9">
      <w:pPr>
        <w:ind w:right="-1"/>
        <w:jc w:val="both"/>
        <w:rPr>
          <w:noProof/>
          <w:color w:val="000000"/>
        </w:rPr>
      </w:pPr>
      <w:r>
        <w:rPr>
          <w:noProof/>
          <w:color w:val="000000"/>
        </w:rPr>
        <w:tab/>
      </w:r>
      <w:r w:rsidRPr="00531FC9">
        <w:rPr>
          <w:noProof/>
          <w:color w:val="000000"/>
        </w:rPr>
        <w:t>Având în vedere referatele Comsiilor de specialitate ale Consiliului Local al Municipiului Sfântu Gheorghe;</w:t>
      </w:r>
    </w:p>
    <w:p w:rsidR="00B64F69" w:rsidRDefault="00531FC9" w:rsidP="00531FC9">
      <w:pPr>
        <w:autoSpaceDE w:val="0"/>
        <w:autoSpaceDN w:val="0"/>
        <w:adjustRightInd w:val="0"/>
        <w:ind w:right="-1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</w:r>
      <w:r w:rsidR="00B64F69">
        <w:rPr>
          <w:color w:val="222222"/>
          <w:shd w:val="clear" w:color="auto" w:fill="FFFFFF"/>
        </w:rPr>
        <w:t>Având în vedere prevederile Anexei 2, pct.2.1.5 din Regulamentul General de Urbanism aprobat prin Hot</w:t>
      </w:r>
      <w:r w:rsidR="00B64F69">
        <w:rPr>
          <w:color w:val="222222"/>
          <w:shd w:val="clear" w:color="auto" w:fill="FFFFFF"/>
          <w:lang w:val="hu-HU"/>
        </w:rPr>
        <w:t>ăr</w:t>
      </w:r>
      <w:r w:rsidR="00B64F69">
        <w:rPr>
          <w:color w:val="222222"/>
          <w:shd w:val="clear" w:color="auto" w:fill="FFFFFF"/>
        </w:rPr>
        <w:t>â</w:t>
      </w:r>
      <w:r w:rsidR="00B64F69">
        <w:rPr>
          <w:color w:val="222222"/>
          <w:shd w:val="clear" w:color="auto" w:fill="FFFFFF"/>
          <w:lang w:val="hu-HU"/>
        </w:rPr>
        <w:t>rea</w:t>
      </w:r>
      <w:r w:rsidR="00B64F69">
        <w:rPr>
          <w:color w:val="222222"/>
          <w:shd w:val="clear" w:color="auto" w:fill="FFFFFF"/>
        </w:rPr>
        <w:t xml:space="preserve"> 525/2016, privind procentul de ocupare a terenului în cazul</w:t>
      </w:r>
      <w:r w:rsidR="00B64F69">
        <w:rPr>
          <w:color w:val="222222"/>
        </w:rPr>
        <w:t xml:space="preserve"> </w:t>
      </w:r>
      <w:r w:rsidR="00B64F69">
        <w:rPr>
          <w:color w:val="222222"/>
          <w:shd w:val="clear" w:color="auto" w:fill="FFFFFF"/>
        </w:rPr>
        <w:t>investițiilor care au ca obiect construire în zone rezidențiale a unor clădiri cu mai mult de 3 niveluri deasupra solului;</w:t>
      </w:r>
    </w:p>
    <w:p w:rsidR="00B64F69" w:rsidRDefault="00531FC9" w:rsidP="00531FC9">
      <w:pPr>
        <w:autoSpaceDE w:val="0"/>
        <w:autoSpaceDN w:val="0"/>
        <w:adjustRightInd w:val="0"/>
        <w:ind w:right="-1"/>
        <w:jc w:val="both"/>
        <w:rPr>
          <w:color w:val="222222"/>
          <w:shd w:val="clear" w:color="auto" w:fill="FFFFFF"/>
        </w:rPr>
      </w:pPr>
      <w:r>
        <w:tab/>
      </w:r>
      <w:r w:rsidR="00B64F69">
        <w:t>Având în vedere Procesul Verbal nr. 10111/15.02.2022 a</w:t>
      </w:r>
      <w:r>
        <w:t>l</w:t>
      </w:r>
      <w:r w:rsidR="00B64F69">
        <w:t xml:space="preserve"> Comisiei Tehnice de Amenajare a Teritoriului și Urbanism a municipiului Sfântu Gheorghe;</w:t>
      </w:r>
    </w:p>
    <w:p w:rsidR="00B64F69" w:rsidRPr="00081B3C" w:rsidRDefault="00531FC9" w:rsidP="00531FC9">
      <w:pPr>
        <w:autoSpaceDE w:val="0"/>
        <w:autoSpaceDN w:val="0"/>
        <w:adjustRightInd w:val="0"/>
        <w:ind w:right="-1"/>
        <w:jc w:val="both"/>
        <w:rPr>
          <w:noProof/>
        </w:rPr>
      </w:pPr>
      <w:r>
        <w:rPr>
          <w:noProof/>
        </w:rPr>
        <w:tab/>
      </w:r>
      <w:r w:rsidR="00B64F69" w:rsidRPr="00081B3C">
        <w:rPr>
          <w:noProof/>
        </w:rPr>
        <w:t>Având în vedere parcurgerea procedurii prevăzute la art. 7 din Legea nr. 52/2003 privind transparenţa decizională în administraţia publică</w:t>
      </w:r>
      <w:r w:rsidR="00690241">
        <w:rPr>
          <w:noProof/>
        </w:rPr>
        <w:t xml:space="preserve">, </w:t>
      </w:r>
      <w:r w:rsidR="00690241" w:rsidRPr="00690241">
        <w:rPr>
          <w:noProof/>
        </w:rPr>
        <w:t>republicată;</w:t>
      </w:r>
    </w:p>
    <w:p w:rsidR="00B64F69" w:rsidRPr="00081B3C" w:rsidRDefault="00531FC9" w:rsidP="00531FC9">
      <w:pPr>
        <w:autoSpaceDE w:val="0"/>
        <w:autoSpaceDN w:val="0"/>
        <w:adjustRightInd w:val="0"/>
        <w:ind w:right="-1"/>
        <w:jc w:val="both"/>
        <w:rPr>
          <w:noProof/>
        </w:rPr>
      </w:pPr>
      <w:r>
        <w:rPr>
          <w:noProof/>
        </w:rPr>
        <w:tab/>
      </w:r>
      <w:r w:rsidR="00B64F69" w:rsidRPr="00081B3C">
        <w:rPr>
          <w:noProof/>
        </w:rPr>
        <w:t>În conformitate cu prevederile art. 129 alin. (2) lit. c, alin. (6) lit. c din OUG nr. 57/2019 privind Codul administrativ, cu modificările şi completările ulterioare;</w:t>
      </w:r>
    </w:p>
    <w:p w:rsidR="00B64F69" w:rsidRPr="00D71E19" w:rsidRDefault="00B64F69" w:rsidP="00531FC9">
      <w:pPr>
        <w:autoSpaceDE w:val="0"/>
        <w:autoSpaceDN w:val="0"/>
        <w:adjustRightInd w:val="0"/>
        <w:ind w:right="-1"/>
        <w:jc w:val="both"/>
        <w:rPr>
          <w:noProof/>
        </w:rPr>
      </w:pPr>
      <w:r w:rsidRPr="00D71E19">
        <w:rPr>
          <w:noProof/>
        </w:rPr>
        <w:t>În baza art. 139 alin. (3) lit. e şi</w:t>
      </w:r>
      <w:r w:rsidRPr="00D71E19">
        <w:rPr>
          <w:noProof/>
          <w:color w:val="FF0000"/>
        </w:rPr>
        <w:t xml:space="preserve"> </w:t>
      </w:r>
      <w:r w:rsidRPr="00D71E19">
        <w:rPr>
          <w:noProof/>
        </w:rPr>
        <w:t>art. 196 alin. (1) lit. a din OUG 57/2019</w:t>
      </w:r>
      <w:r w:rsidRPr="00D71E19">
        <w:rPr>
          <w:noProof/>
          <w:color w:val="FF0000"/>
        </w:rPr>
        <w:t xml:space="preserve"> </w:t>
      </w:r>
      <w:r w:rsidRPr="00D71E19">
        <w:rPr>
          <w:noProof/>
        </w:rPr>
        <w:t>privind Codul administrativ, cu modificările şi completările ulterioare.</w:t>
      </w:r>
    </w:p>
    <w:p w:rsidR="00B64F69" w:rsidRPr="00D71E19" w:rsidRDefault="00B64F69" w:rsidP="00531FC9">
      <w:pPr>
        <w:autoSpaceDE w:val="0"/>
        <w:autoSpaceDN w:val="0"/>
        <w:adjustRightInd w:val="0"/>
        <w:ind w:right="-1"/>
        <w:jc w:val="both"/>
        <w:rPr>
          <w:noProof/>
        </w:rPr>
      </w:pPr>
    </w:p>
    <w:p w:rsidR="00B64F69" w:rsidRPr="00D71E19" w:rsidRDefault="00B64F69" w:rsidP="00531FC9">
      <w:pPr>
        <w:pStyle w:val="NormalWeb"/>
        <w:spacing w:before="0" w:beforeAutospacing="0" w:after="0" w:afterAutospacing="0"/>
        <w:ind w:right="-1"/>
        <w:jc w:val="center"/>
        <w:rPr>
          <w:b/>
          <w:bCs/>
          <w:noProof/>
          <w:color w:val="000000"/>
          <w:lang w:val="ro-RO"/>
        </w:rPr>
      </w:pPr>
      <w:r w:rsidRPr="00D71E19">
        <w:rPr>
          <w:b/>
          <w:bCs/>
          <w:noProof/>
          <w:color w:val="000000"/>
          <w:lang w:val="ro-RO"/>
        </w:rPr>
        <w:t>HOTĂRĂŞTE</w:t>
      </w:r>
    </w:p>
    <w:p w:rsidR="00B64F69" w:rsidRPr="00D71E19" w:rsidRDefault="00B64F69" w:rsidP="00531FC9">
      <w:pPr>
        <w:autoSpaceDE w:val="0"/>
        <w:autoSpaceDN w:val="0"/>
        <w:adjustRightInd w:val="0"/>
        <w:ind w:right="-1"/>
        <w:jc w:val="both"/>
        <w:rPr>
          <w:noProof/>
        </w:rPr>
      </w:pPr>
    </w:p>
    <w:p w:rsidR="00B64F69" w:rsidRDefault="00271791" w:rsidP="00531FC9">
      <w:pPr>
        <w:autoSpaceDE w:val="0"/>
        <w:autoSpaceDN w:val="0"/>
        <w:adjustRightInd w:val="0"/>
        <w:ind w:right="-1"/>
        <w:jc w:val="both"/>
        <w:rPr>
          <w:noProof/>
        </w:rPr>
      </w:pPr>
      <w:r>
        <w:rPr>
          <w:b/>
          <w:bCs/>
          <w:noProof/>
        </w:rPr>
        <w:tab/>
      </w:r>
      <w:smartTag w:uri="urn:schemas-microsoft-com:office:smarttags" w:element="stockticker">
        <w:r w:rsidR="00B64F69" w:rsidRPr="00D71E19">
          <w:rPr>
            <w:b/>
            <w:bCs/>
            <w:noProof/>
          </w:rPr>
          <w:t>ART</w:t>
        </w:r>
      </w:smartTag>
      <w:r w:rsidR="00B64F69" w:rsidRPr="00D71E19">
        <w:rPr>
          <w:b/>
          <w:bCs/>
          <w:noProof/>
        </w:rPr>
        <w:t>. 1.</w:t>
      </w:r>
      <w:r w:rsidR="00B64F69" w:rsidRPr="00D71E19">
        <w:rPr>
          <w:noProof/>
        </w:rPr>
        <w:t xml:space="preserve"> - Se aprobă </w:t>
      </w:r>
      <w:r w:rsidR="00B64F69">
        <w:rPr>
          <w:noProof/>
        </w:rPr>
        <w:t>aplicarea Procentului de Ocupare al Terenului (</w:t>
      </w:r>
      <w:smartTag w:uri="urn:schemas-microsoft-com:office:smarttags" w:element="stockticker">
        <w:r w:rsidR="00B64F69">
          <w:rPr>
            <w:noProof/>
          </w:rPr>
          <w:t>POT</w:t>
        </w:r>
      </w:smartTag>
      <w:r w:rsidR="00B64F69">
        <w:rPr>
          <w:noProof/>
        </w:rPr>
        <w:t>) progresiv</w:t>
      </w:r>
      <w:r w:rsidR="00F42045">
        <w:rPr>
          <w:noProof/>
        </w:rPr>
        <w:t>, cu</w:t>
      </w:r>
      <w:r w:rsidR="00F42045" w:rsidRPr="00F42045">
        <w:rPr>
          <w:noProof/>
        </w:rPr>
        <w:t xml:space="preserve"> </w:t>
      </w:r>
      <w:r w:rsidR="00F42045">
        <w:rPr>
          <w:noProof/>
        </w:rPr>
        <w:t>modificarea Procentului de ocupare a terenurilor (POT) în ”zone mixte”, definite conform Hotărârii Guvernului nr. 525/1996, Anexa nr. 2, pct. 2.1.5., POT = 70%.</w:t>
      </w:r>
    </w:p>
    <w:p w:rsidR="00B64F69" w:rsidRPr="00DC30E2" w:rsidRDefault="00271791" w:rsidP="00531FC9">
      <w:pPr>
        <w:autoSpaceDE w:val="0"/>
        <w:autoSpaceDN w:val="0"/>
        <w:adjustRightInd w:val="0"/>
        <w:ind w:right="-1"/>
        <w:jc w:val="both"/>
        <w:rPr>
          <w:noProof/>
          <w:lang w:val="en-US"/>
        </w:rPr>
      </w:pPr>
      <w:r>
        <w:rPr>
          <w:b/>
          <w:bCs/>
          <w:noProof/>
        </w:rPr>
        <w:tab/>
      </w:r>
      <w:smartTag w:uri="urn:schemas-microsoft-com:office:smarttags" w:element="stockticker">
        <w:r w:rsidR="00B64F69">
          <w:rPr>
            <w:b/>
            <w:bCs/>
            <w:noProof/>
          </w:rPr>
          <w:t>ART</w:t>
        </w:r>
      </w:smartTag>
      <w:r w:rsidR="00B64F69">
        <w:rPr>
          <w:b/>
          <w:bCs/>
          <w:noProof/>
        </w:rPr>
        <w:t>. 2.</w:t>
      </w:r>
      <w:r w:rsidR="00B64F69" w:rsidRPr="00D71E19">
        <w:rPr>
          <w:noProof/>
        </w:rPr>
        <w:t xml:space="preserve"> - </w:t>
      </w:r>
      <w:r w:rsidR="00B64F69">
        <w:rPr>
          <w:noProof/>
        </w:rPr>
        <w:t xml:space="preserve">Se aprobă </w:t>
      </w:r>
      <w:r w:rsidR="00390066">
        <w:rPr>
          <w:noProof/>
        </w:rPr>
        <w:t>Procentul</w:t>
      </w:r>
      <w:r w:rsidR="00215CC3">
        <w:rPr>
          <w:noProof/>
        </w:rPr>
        <w:t xml:space="preserve"> de Ocupare al Terenului (</w:t>
      </w:r>
      <w:r w:rsidR="00B64F69">
        <w:rPr>
          <w:noProof/>
        </w:rPr>
        <w:t>POT</w:t>
      </w:r>
      <w:r w:rsidR="00215CC3">
        <w:rPr>
          <w:noProof/>
        </w:rPr>
        <w:t>)</w:t>
      </w:r>
      <w:r w:rsidR="00B64F69">
        <w:rPr>
          <w:noProof/>
        </w:rPr>
        <w:t xml:space="preserve"> progresiv, calculat ca medie aritmetică ponderată</w:t>
      </w:r>
      <w:r w:rsidR="00215CC3">
        <w:rPr>
          <w:noProof/>
        </w:rPr>
        <w:t xml:space="preserve"> a suprafeței construite aferentă fiecărei funcțiuni, ce se va reglementa prin documentația de urbanism (alte funcțiuni ca locuințele: funcțiuni publice, comerț, servicii, etc., respectiv locuințe). Funcțiunea rezidențială, ca funcțiune complementară a ”zonelor mixte” se va considera ca un procent de ocupare a terenului progresiv, pornind de la baza de POT = 20%;</w:t>
      </w:r>
      <w:r w:rsidR="00B64F69">
        <w:rPr>
          <w:noProof/>
        </w:rPr>
        <w:t xml:space="preserve"> </w:t>
      </w:r>
    </w:p>
    <w:p w:rsidR="00B64F69" w:rsidRPr="00271791" w:rsidRDefault="00271791" w:rsidP="00531FC9">
      <w:pPr>
        <w:ind w:right="-1"/>
        <w:rPr>
          <w:noProof/>
        </w:rPr>
      </w:pPr>
      <w:r w:rsidRPr="00271791">
        <w:rPr>
          <w:bCs/>
          <w:noProof/>
        </w:rPr>
        <w:tab/>
      </w:r>
      <w:r w:rsidRPr="00271791">
        <w:rPr>
          <w:b/>
          <w:bCs/>
          <w:noProof/>
        </w:rPr>
        <w:t>ART. 3</w:t>
      </w:r>
      <w:r w:rsidRPr="00271791">
        <w:rPr>
          <w:bCs/>
          <w:noProof/>
        </w:rPr>
        <w:t>. - Cu ducerea la îndeplinire a prezentei hotărâri se încredinţează Direcţia de Urbanism şi Direcţia Generală Economică și Finanţe Publice Municipale din cadrul Primăriei municipiului Sfântu Gheorghe.</w:t>
      </w:r>
    </w:p>
    <w:p w:rsidR="00B64F69" w:rsidRDefault="00B64F69" w:rsidP="00531FC9">
      <w:pPr>
        <w:spacing w:before="240"/>
        <w:ind w:right="-1"/>
        <w:rPr>
          <w:noProof/>
        </w:rPr>
      </w:pPr>
      <w:r w:rsidRPr="00D71E19">
        <w:rPr>
          <w:noProof/>
        </w:rPr>
        <w:tab/>
        <w:t>S</w:t>
      </w:r>
      <w:r w:rsidR="00271791">
        <w:rPr>
          <w:noProof/>
        </w:rPr>
        <w:t>fântu Gheorghe, la ________________</w:t>
      </w:r>
      <w:r w:rsidRPr="00EA61DD">
        <w:rPr>
          <w:noProof/>
        </w:rPr>
        <w:t xml:space="preserve"> </w:t>
      </w:r>
    </w:p>
    <w:p w:rsidR="009E3CEC" w:rsidRDefault="009E3CEC" w:rsidP="00531FC9">
      <w:pPr>
        <w:spacing w:before="240"/>
        <w:ind w:right="-1"/>
        <w:rPr>
          <w:noProof/>
        </w:rPr>
      </w:pPr>
    </w:p>
    <w:p w:rsidR="009E3CEC" w:rsidRPr="009E3CEC" w:rsidRDefault="009E3CEC" w:rsidP="00531FC9">
      <w:pPr>
        <w:spacing w:before="240"/>
        <w:ind w:right="-1"/>
        <w:rPr>
          <w:b/>
          <w:noProof/>
        </w:rPr>
      </w:pPr>
      <w:r w:rsidRPr="009E3CEC">
        <w:rPr>
          <w:b/>
          <w:noProof/>
        </w:rPr>
        <w:tab/>
        <w:t>PREȘEDINTE DE ȘEDINȚĂ</w:t>
      </w:r>
    </w:p>
    <w:p w:rsidR="00B64F69" w:rsidRDefault="00B64F69" w:rsidP="00531FC9">
      <w:pPr>
        <w:ind w:right="-1"/>
        <w:rPr>
          <w:noProof/>
        </w:rPr>
      </w:pPr>
    </w:p>
    <w:p w:rsidR="00B64F69" w:rsidRDefault="00B64F69" w:rsidP="009E3CEC">
      <w:pPr>
        <w:ind w:right="-1"/>
        <w:rPr>
          <w:noProof/>
        </w:rPr>
      </w:pPr>
      <w:r>
        <w:rPr>
          <w:noProof/>
        </w:rPr>
        <w:br w:type="page"/>
      </w:r>
    </w:p>
    <w:p w:rsidR="00B64F69" w:rsidRPr="004D0C73" w:rsidRDefault="00B64F69" w:rsidP="00531FC9">
      <w:pPr>
        <w:pStyle w:val="Heading2"/>
        <w:spacing w:before="600" w:beforeAutospacing="0"/>
        <w:ind w:right="-1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Nr. înreg. </w:t>
      </w:r>
      <w:r w:rsidRPr="007176B2">
        <w:rPr>
          <w:noProof/>
          <w:sz w:val="24"/>
          <w:szCs w:val="24"/>
        </w:rPr>
        <w:t>12328</w:t>
      </w:r>
      <w:r>
        <w:rPr>
          <w:noProof/>
          <w:sz w:val="24"/>
          <w:szCs w:val="24"/>
        </w:rPr>
        <w:t>/23.02.2022</w:t>
      </w:r>
    </w:p>
    <w:p w:rsidR="00B64F69" w:rsidRDefault="00B64F69" w:rsidP="00531FC9">
      <w:pPr>
        <w:spacing w:before="1800"/>
        <w:ind w:right="-1"/>
        <w:jc w:val="center"/>
        <w:rPr>
          <w:b/>
          <w:bCs/>
          <w:noProof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val="en-US"/>
        </w:rPr>
        <w:t>REFERAT DE APROBARE</w:t>
      </w:r>
    </w:p>
    <w:p w:rsidR="00B64F69" w:rsidRDefault="00B64F69" w:rsidP="00531FC9">
      <w:pPr>
        <w:ind w:right="-1"/>
        <w:jc w:val="center"/>
        <w:rPr>
          <w:b/>
          <w:bCs/>
          <w:noProof/>
          <w:lang w:val="en-US"/>
        </w:rPr>
      </w:pPr>
    </w:p>
    <w:p w:rsidR="00B64F69" w:rsidRDefault="00B64F69" w:rsidP="00531FC9">
      <w:pPr>
        <w:ind w:right="-1"/>
        <w:jc w:val="center"/>
        <w:rPr>
          <w:noProof/>
          <w:lang w:val="en-US"/>
        </w:rPr>
      </w:pPr>
      <w:r>
        <w:rPr>
          <w:b/>
          <w:bCs/>
          <w:noProof/>
          <w:lang w:val="en-US"/>
        </w:rPr>
        <w:t xml:space="preserve">privind </w:t>
      </w:r>
      <w:r>
        <w:rPr>
          <w:b/>
          <w:bCs/>
          <w:noProof/>
        </w:rPr>
        <w:t>Procentul de Ocupare al Terenului progresiv pentru construcții cu funcțiuni mixte și de locuire din municipiul Sfântu Gheorghe</w:t>
      </w:r>
    </w:p>
    <w:p w:rsidR="00B64F69" w:rsidRDefault="00B64F69" w:rsidP="00531FC9">
      <w:pPr>
        <w:spacing w:line="360" w:lineRule="auto"/>
        <w:ind w:right="-1"/>
        <w:jc w:val="both"/>
        <w:rPr>
          <w:noProof/>
          <w:lang w:val="en-US"/>
        </w:rPr>
      </w:pPr>
    </w:p>
    <w:p w:rsidR="00B64F69" w:rsidRPr="0075001F" w:rsidRDefault="00B64F69" w:rsidP="00531FC9">
      <w:pPr>
        <w:spacing w:before="240" w:line="360" w:lineRule="auto"/>
        <w:ind w:right="-1"/>
        <w:jc w:val="both"/>
        <w:rPr>
          <w:noProof/>
        </w:rPr>
      </w:pPr>
      <w:r>
        <w:rPr>
          <w:noProof/>
          <w:lang w:val="en-US"/>
        </w:rPr>
        <w:t>Av</w:t>
      </w:r>
      <w:r>
        <w:rPr>
          <w:noProof/>
        </w:rPr>
        <w:t xml:space="preserve">ând în vedere procesul verbal al Comisiei Tehnice de Amenajarea Teritoriului și Urbanism a municipiului Sfântu Gheorghe, din data de 09.12.2021, înregistrat la Primăria municipiului Sfântu Gheorghe sub nr. 10111/15.02.2022, cu privire la adoptarea unei Procent de Ocupare Teren progresiv </w:t>
      </w:r>
      <w:r>
        <w:rPr>
          <w:noProof/>
          <w:lang w:val="en-US"/>
        </w:rPr>
        <w:t>pentru evitarea interpretărilor</w:t>
      </w:r>
      <w:r>
        <w:rPr>
          <w:noProof/>
        </w:rPr>
        <w:t>.</w:t>
      </w:r>
    </w:p>
    <w:p w:rsidR="00B64F69" w:rsidRDefault="00B64F69" w:rsidP="00531FC9">
      <w:pPr>
        <w:spacing w:line="360" w:lineRule="auto"/>
        <w:ind w:right="-1"/>
        <w:jc w:val="both"/>
        <w:rPr>
          <w:noProof/>
          <w:lang w:val="en-US"/>
        </w:rPr>
      </w:pPr>
      <w:r>
        <w:rPr>
          <w:noProof/>
          <w:lang w:val="en-US"/>
        </w:rPr>
        <w:t>Având în vedere cele relatate anterior, respectiv Raportul de specialitate cu nr. 12329/23.02.2022 al arhitectului şef al Municipiului Sfântu Gheorghe;</w:t>
      </w:r>
    </w:p>
    <w:p w:rsidR="00B64F69" w:rsidRDefault="00B64F69" w:rsidP="00531FC9">
      <w:pPr>
        <w:spacing w:line="360" w:lineRule="auto"/>
        <w:ind w:right="-1"/>
        <w:jc w:val="both"/>
        <w:rPr>
          <w:noProof/>
          <w:lang w:val="en-US"/>
        </w:rPr>
      </w:pPr>
      <w:r>
        <w:rPr>
          <w:noProof/>
          <w:lang w:val="en-US"/>
        </w:rPr>
        <w:t>În temeiul art. 129 alin. (2) lit. c şi art. (6) lit. c din OUG nr. 57/2019 privind Codul administrativ, propun spre dezbatere şi aprobare proiectul de hotărâre nr 12330/23.02.2022 privind procentul de ocupare al terenului progresiv pentru construcții cu funcțiuni mixte și de din municipiul Sfântu Gheorghe.</w:t>
      </w:r>
    </w:p>
    <w:p w:rsidR="00B64F69" w:rsidRDefault="00B64F69" w:rsidP="00531FC9">
      <w:pPr>
        <w:tabs>
          <w:tab w:val="left" w:pos="7088"/>
        </w:tabs>
        <w:spacing w:before="1200"/>
        <w:ind w:right="-1"/>
        <w:rPr>
          <w:noProof/>
          <w:lang w:val="en-US"/>
        </w:rPr>
      </w:pPr>
      <w:r>
        <w:rPr>
          <w:noProof/>
          <w:lang w:val="en-US"/>
        </w:rPr>
        <w:tab/>
        <w:t>PRIMAR,</w:t>
      </w:r>
    </w:p>
    <w:p w:rsidR="00B64F69" w:rsidRDefault="00B64F69" w:rsidP="00531FC9">
      <w:pPr>
        <w:tabs>
          <w:tab w:val="left" w:pos="6521"/>
        </w:tabs>
        <w:ind w:right="-1"/>
        <w:rPr>
          <w:noProof/>
          <w:snapToGrid w:val="0"/>
          <w:lang w:val="en-US"/>
        </w:rPr>
      </w:pPr>
      <w:r>
        <w:rPr>
          <w:noProof/>
          <w:snapToGrid w:val="0"/>
          <w:lang w:val="en-US"/>
        </w:rPr>
        <w:tab/>
        <w:t>Antal Árpád – András</w:t>
      </w:r>
    </w:p>
    <w:p w:rsidR="00B64F69" w:rsidRPr="00550E07" w:rsidRDefault="00B64F69" w:rsidP="00531FC9">
      <w:pPr>
        <w:ind w:right="-1"/>
        <w:jc w:val="both"/>
        <w:rPr>
          <w:b/>
          <w:bCs/>
        </w:rPr>
      </w:pPr>
      <w:r>
        <w:rPr>
          <w:noProof/>
          <w:snapToGrid w:val="0"/>
          <w:lang w:val="en-US"/>
        </w:rPr>
        <w:br w:type="page"/>
      </w:r>
      <w:r w:rsidRPr="00550E07">
        <w:rPr>
          <w:b/>
          <w:bCs/>
        </w:rPr>
        <w:lastRenderedPageBreak/>
        <w:t>DIRECŢIA URBANISM</w:t>
      </w:r>
    </w:p>
    <w:p w:rsidR="00B64F69" w:rsidRPr="00014B4E" w:rsidRDefault="00B64F69" w:rsidP="00531FC9">
      <w:pPr>
        <w:ind w:right="-1"/>
        <w:rPr>
          <w:b/>
          <w:bCs/>
          <w:sz w:val="26"/>
          <w:szCs w:val="26"/>
          <w:lang w:val="pt-BR"/>
        </w:rPr>
      </w:pPr>
      <w:r w:rsidRPr="00014B4E">
        <w:rPr>
          <w:b/>
          <w:bCs/>
          <w:noProof/>
        </w:rPr>
        <w:t>Nr. . 12329/23.02.2022</w:t>
      </w:r>
    </w:p>
    <w:p w:rsidR="00B64F69" w:rsidRDefault="00B64F69" w:rsidP="00531FC9">
      <w:pPr>
        <w:pStyle w:val="Title"/>
        <w:ind w:right="-1"/>
        <w:rPr>
          <w:sz w:val="26"/>
          <w:szCs w:val="26"/>
          <w:lang w:val="pt-BR"/>
        </w:rPr>
      </w:pPr>
    </w:p>
    <w:p w:rsidR="00B64F69" w:rsidRDefault="00B64F69" w:rsidP="00531FC9">
      <w:pPr>
        <w:pStyle w:val="Title"/>
        <w:ind w:right="-1"/>
        <w:rPr>
          <w:sz w:val="26"/>
          <w:szCs w:val="26"/>
          <w:lang w:val="pt-BR"/>
        </w:rPr>
      </w:pPr>
    </w:p>
    <w:p w:rsidR="00B64F69" w:rsidRDefault="00B64F69" w:rsidP="00531FC9">
      <w:pPr>
        <w:pStyle w:val="Title"/>
        <w:ind w:right="-1"/>
        <w:rPr>
          <w:sz w:val="26"/>
          <w:szCs w:val="26"/>
          <w:lang w:val="pt-BR"/>
        </w:rPr>
      </w:pPr>
    </w:p>
    <w:p w:rsidR="00B64F69" w:rsidRDefault="00B64F69" w:rsidP="00531FC9">
      <w:pPr>
        <w:pStyle w:val="Title"/>
        <w:ind w:right="-1"/>
        <w:rPr>
          <w:sz w:val="26"/>
          <w:szCs w:val="26"/>
          <w:lang w:val="pt-BR"/>
        </w:rPr>
      </w:pPr>
    </w:p>
    <w:p w:rsidR="00B64F69" w:rsidRDefault="00B64F69" w:rsidP="00531FC9">
      <w:pPr>
        <w:pStyle w:val="Title"/>
        <w:ind w:right="-1"/>
        <w:rPr>
          <w:sz w:val="26"/>
          <w:szCs w:val="26"/>
          <w:lang w:val="pt-BR"/>
        </w:rPr>
      </w:pPr>
    </w:p>
    <w:p w:rsidR="00B64F69" w:rsidRDefault="00B64F69" w:rsidP="00531FC9">
      <w:pPr>
        <w:pStyle w:val="Title"/>
        <w:ind w:right="-1"/>
        <w:rPr>
          <w:sz w:val="26"/>
          <w:szCs w:val="26"/>
          <w:lang w:val="pt-BR"/>
        </w:rPr>
      </w:pPr>
    </w:p>
    <w:p w:rsidR="00B64F69" w:rsidRDefault="00B64F69" w:rsidP="00531FC9">
      <w:pPr>
        <w:pStyle w:val="Title"/>
        <w:ind w:right="-1"/>
        <w:rPr>
          <w:lang w:val="pt-BR"/>
        </w:rPr>
      </w:pPr>
      <w:r w:rsidRPr="00550E07">
        <w:rPr>
          <w:lang w:val="pt-BR"/>
        </w:rPr>
        <w:t>R A P O R T   D E   S P E C I A L I T A T E</w:t>
      </w:r>
    </w:p>
    <w:p w:rsidR="00B64F69" w:rsidRPr="00550E07" w:rsidRDefault="00B64F69" w:rsidP="00531FC9">
      <w:pPr>
        <w:pStyle w:val="Title"/>
        <w:ind w:right="-1"/>
        <w:rPr>
          <w:lang w:val="pt-BR"/>
        </w:rPr>
      </w:pPr>
    </w:p>
    <w:p w:rsidR="00B64F69" w:rsidRPr="00D71E19" w:rsidRDefault="00B64F69" w:rsidP="00531FC9">
      <w:pPr>
        <w:ind w:right="-1"/>
        <w:jc w:val="center"/>
        <w:rPr>
          <w:b/>
          <w:bCs/>
          <w:noProof/>
        </w:rPr>
      </w:pPr>
      <w:r w:rsidRPr="00D71E19">
        <w:rPr>
          <w:b/>
          <w:bCs/>
          <w:noProof/>
        </w:rPr>
        <w:t xml:space="preserve">privind </w:t>
      </w:r>
      <w:r>
        <w:rPr>
          <w:b/>
          <w:bCs/>
          <w:noProof/>
        </w:rPr>
        <w:t>procentul de ocupare al terenului (</w:t>
      </w:r>
      <w:smartTag w:uri="urn:schemas-microsoft-com:office:smarttags" w:element="stockticker">
        <w:r>
          <w:rPr>
            <w:b/>
            <w:bCs/>
            <w:noProof/>
          </w:rPr>
          <w:t>POT</w:t>
        </w:r>
      </w:smartTag>
      <w:r>
        <w:rPr>
          <w:b/>
          <w:bCs/>
          <w:noProof/>
        </w:rPr>
        <w:t>) progresiv pentru construcții cu funcțiuni mixte și de locuire din municipiul Sfântu Gheorghe</w:t>
      </w:r>
    </w:p>
    <w:p w:rsidR="00B64F69" w:rsidRPr="000C71E7" w:rsidRDefault="00B64F69" w:rsidP="00531FC9">
      <w:pPr>
        <w:ind w:right="-1"/>
        <w:jc w:val="center"/>
        <w:rPr>
          <w:b/>
          <w:bCs/>
          <w:noProof/>
          <w:sz w:val="26"/>
          <w:szCs w:val="26"/>
        </w:rPr>
      </w:pPr>
    </w:p>
    <w:p w:rsidR="00B64F69" w:rsidRDefault="00B64F69" w:rsidP="00531FC9">
      <w:pPr>
        <w:ind w:right="-1"/>
        <w:jc w:val="both"/>
        <w:rPr>
          <w:sz w:val="26"/>
          <w:szCs w:val="26"/>
          <w:lang w:val="hu-HU"/>
        </w:rPr>
      </w:pPr>
    </w:p>
    <w:p w:rsidR="00B64F69" w:rsidRDefault="00B64F69" w:rsidP="00531FC9">
      <w:pPr>
        <w:ind w:right="-1"/>
        <w:jc w:val="both"/>
        <w:rPr>
          <w:sz w:val="26"/>
          <w:szCs w:val="26"/>
          <w:lang w:val="hu-HU"/>
        </w:rPr>
      </w:pPr>
    </w:p>
    <w:p w:rsidR="00B64F69" w:rsidRDefault="00B64F69" w:rsidP="00531FC9">
      <w:pPr>
        <w:spacing w:line="360" w:lineRule="auto"/>
        <w:ind w:right="-1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Având în vedere prevederile Anexei 2, pct.2.1.5 din Regulamentul General de Urbanism aprobat prin Hot</w:t>
      </w:r>
      <w:r>
        <w:rPr>
          <w:color w:val="222222"/>
          <w:shd w:val="clear" w:color="auto" w:fill="FFFFFF"/>
          <w:lang w:val="hu-HU"/>
        </w:rPr>
        <w:t>ărârea</w:t>
      </w:r>
      <w:r>
        <w:rPr>
          <w:color w:val="222222"/>
          <w:shd w:val="clear" w:color="auto" w:fill="FFFFFF"/>
        </w:rPr>
        <w:t xml:space="preserve"> 525/2016, privind procentul de ocupare a terenului în cazul</w:t>
      </w:r>
      <w:r>
        <w:rPr>
          <w:color w:val="222222"/>
        </w:rPr>
        <w:t xml:space="preserve"> </w:t>
      </w:r>
      <w:r>
        <w:rPr>
          <w:color w:val="222222"/>
          <w:shd w:val="clear" w:color="auto" w:fill="FFFFFF"/>
        </w:rPr>
        <w:t>investițiilor care au ca obiect construire în zone rezidențiale a unor clădiri cu mai mult de 3 niveluri deasupra solului, pentru care procentul de ocupare maxim este de 20%, iar pentru zonele cu funcțiuni mixte procentul de ocupare maxim este de 70%. pentru a nu lăsa loc de interpretări se stabilește următorul criteriu de calculare a procentului de ocupare, după cum urmează:</w:t>
      </w:r>
    </w:p>
    <w:p w:rsidR="00B64F69" w:rsidRDefault="00B64F69" w:rsidP="00531FC9">
      <w:pPr>
        <w:numPr>
          <w:ilvl w:val="0"/>
          <w:numId w:val="3"/>
        </w:numPr>
        <w:spacing w:line="360" w:lineRule="auto"/>
        <w:ind w:left="0" w:right="-1" w:firstLine="0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pentru construcții exclusiv rezidențiale  procent de ocupare  maxim 20%</w:t>
      </w:r>
    </w:p>
    <w:p w:rsidR="00B64F69" w:rsidRDefault="00B64F69" w:rsidP="00531FC9">
      <w:pPr>
        <w:numPr>
          <w:ilvl w:val="0"/>
          <w:numId w:val="3"/>
        </w:numPr>
        <w:spacing w:line="360" w:lineRule="auto"/>
        <w:ind w:left="0" w:right="-1" w:firstLine="0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pentru construcții cu funcțiuni mixte, altele  decât cea de locuire procent de ocupare 70%</w:t>
      </w:r>
    </w:p>
    <w:p w:rsidR="00B64F69" w:rsidRDefault="00B64F69" w:rsidP="00531FC9">
      <w:pPr>
        <w:numPr>
          <w:ilvl w:val="0"/>
          <w:numId w:val="3"/>
        </w:numPr>
        <w:spacing w:line="360" w:lineRule="auto"/>
        <w:ind w:left="0" w:right="-1" w:firstLine="0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pentru clădiri cu funcțiuni mixte, dar și de locuire în cadrul aceleași  clădiri se calculează un procent de ocupare progresiv peste 20%. Procentul de ocupare al terenului va crește proporțional cu suprafața desfășurată a altor funcțiuni decât cea de locuit.</w:t>
      </w:r>
    </w:p>
    <w:p w:rsidR="00B64F69" w:rsidRPr="00550E07" w:rsidRDefault="00B64F69" w:rsidP="00531FC9">
      <w:pPr>
        <w:autoSpaceDE w:val="0"/>
        <w:autoSpaceDN w:val="0"/>
        <w:adjustRightInd w:val="0"/>
        <w:spacing w:line="360" w:lineRule="auto"/>
        <w:ind w:right="-1"/>
        <w:jc w:val="both"/>
        <w:rPr>
          <w:color w:val="222222"/>
          <w:shd w:val="clear" w:color="auto" w:fill="FFFFFF"/>
          <w:lang w:val="en-US"/>
        </w:rPr>
      </w:pPr>
      <w:r w:rsidRPr="00550E07">
        <w:rPr>
          <w:color w:val="222222"/>
          <w:shd w:val="clear" w:color="auto" w:fill="FFFFFF"/>
          <w:lang w:val="en-US"/>
        </w:rPr>
        <w:t>Având în vedere cele arătate mai sus, propun aprobarea proiectului de hotărâre în forma iniţiată.</w:t>
      </w:r>
    </w:p>
    <w:p w:rsidR="00B64F69" w:rsidRPr="009E6570" w:rsidRDefault="00B64F69" w:rsidP="00531FC9">
      <w:pPr>
        <w:autoSpaceDE w:val="0"/>
        <w:autoSpaceDN w:val="0"/>
        <w:adjustRightInd w:val="0"/>
        <w:ind w:right="-1"/>
        <w:jc w:val="both"/>
        <w:rPr>
          <w:sz w:val="26"/>
          <w:szCs w:val="26"/>
        </w:rPr>
      </w:pPr>
    </w:p>
    <w:p w:rsidR="00B64F69" w:rsidRPr="009A1A45" w:rsidRDefault="00B64F69" w:rsidP="00531FC9">
      <w:pPr>
        <w:pStyle w:val="Heading3"/>
        <w:tabs>
          <w:tab w:val="left" w:pos="6663"/>
        </w:tabs>
        <w:ind w:right="-1"/>
        <w:rPr>
          <w:rFonts w:ascii="Times New Roman" w:hAnsi="Times New Roman" w:cs="Times New Roman"/>
        </w:rPr>
      </w:pPr>
      <w:r>
        <w:t xml:space="preserve">       </w:t>
      </w:r>
      <w:r w:rsidRPr="00247112">
        <w:tab/>
      </w:r>
      <w:r>
        <w:t xml:space="preserve">         </w:t>
      </w:r>
      <w:r w:rsidRPr="009A1A45">
        <w:rPr>
          <w:rFonts w:ascii="Times New Roman" w:hAnsi="Times New Roman" w:cs="Times New Roman"/>
        </w:rPr>
        <w:t>Arhitect şef</w:t>
      </w:r>
    </w:p>
    <w:p w:rsidR="00B64F69" w:rsidRPr="00247112" w:rsidRDefault="00B64F69" w:rsidP="00531FC9">
      <w:pPr>
        <w:ind w:right="-1"/>
        <w:jc w:val="right"/>
        <w:rPr>
          <w:sz w:val="26"/>
          <w:szCs w:val="26"/>
          <w:lang w:val="hu-HU"/>
        </w:rPr>
      </w:pPr>
      <w:r w:rsidRPr="00247112">
        <w:rPr>
          <w:sz w:val="26"/>
          <w:szCs w:val="26"/>
        </w:rPr>
        <w:t>Birtalan Erzs</w:t>
      </w:r>
      <w:r w:rsidRPr="00247112">
        <w:rPr>
          <w:sz w:val="26"/>
          <w:szCs w:val="26"/>
          <w:lang w:val="hu-HU"/>
        </w:rPr>
        <w:t>ébet Csilla</w:t>
      </w:r>
    </w:p>
    <w:p w:rsidR="00B64F69" w:rsidRDefault="00B64F69" w:rsidP="00531FC9">
      <w:pPr>
        <w:spacing w:line="360" w:lineRule="auto"/>
        <w:ind w:right="-1"/>
        <w:jc w:val="both"/>
        <w:rPr>
          <w:color w:val="222222"/>
          <w:shd w:val="clear" w:color="auto" w:fill="FFFFFF"/>
        </w:rPr>
      </w:pPr>
    </w:p>
    <w:p w:rsidR="00B64F69" w:rsidRPr="004D0C73" w:rsidRDefault="00B64F69" w:rsidP="00531FC9">
      <w:pPr>
        <w:tabs>
          <w:tab w:val="left" w:pos="6521"/>
        </w:tabs>
        <w:ind w:right="-1"/>
        <w:rPr>
          <w:noProof/>
          <w:lang w:val="en-US"/>
        </w:rPr>
      </w:pPr>
    </w:p>
    <w:sectPr w:rsidR="00B64F69" w:rsidRPr="004D0C73" w:rsidSect="00531FC9">
      <w:pgSz w:w="11907" w:h="16840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639F4"/>
    <w:multiLevelType w:val="hybridMultilevel"/>
    <w:tmpl w:val="CFBAB95A"/>
    <w:lvl w:ilvl="0" w:tplc="EE7A4F7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290393"/>
    <w:multiLevelType w:val="hybridMultilevel"/>
    <w:tmpl w:val="0DB091A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C25CBC1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0747"/>
    <w:rsid w:val="00005452"/>
    <w:rsid w:val="00007D3D"/>
    <w:rsid w:val="00014B4E"/>
    <w:rsid w:val="0002016C"/>
    <w:rsid w:val="0003044A"/>
    <w:rsid w:val="00043DF2"/>
    <w:rsid w:val="00054CDB"/>
    <w:rsid w:val="000653CD"/>
    <w:rsid w:val="00066497"/>
    <w:rsid w:val="00076D1C"/>
    <w:rsid w:val="00081B3C"/>
    <w:rsid w:val="000874A3"/>
    <w:rsid w:val="0009413C"/>
    <w:rsid w:val="000978C3"/>
    <w:rsid w:val="000A0012"/>
    <w:rsid w:val="000A2C55"/>
    <w:rsid w:val="000B2F6D"/>
    <w:rsid w:val="000B5AFB"/>
    <w:rsid w:val="000C05C3"/>
    <w:rsid w:val="000C396F"/>
    <w:rsid w:val="000C71E7"/>
    <w:rsid w:val="000D02BE"/>
    <w:rsid w:val="000F027D"/>
    <w:rsid w:val="000F3CF3"/>
    <w:rsid w:val="001031D9"/>
    <w:rsid w:val="001156A0"/>
    <w:rsid w:val="00126A6B"/>
    <w:rsid w:val="00150DA4"/>
    <w:rsid w:val="0016641A"/>
    <w:rsid w:val="00193BDA"/>
    <w:rsid w:val="001A5EEB"/>
    <w:rsid w:val="001B37CC"/>
    <w:rsid w:val="001D1536"/>
    <w:rsid w:val="001D17D1"/>
    <w:rsid w:val="001E072C"/>
    <w:rsid w:val="001F1787"/>
    <w:rsid w:val="002050BE"/>
    <w:rsid w:val="00215CC3"/>
    <w:rsid w:val="00225381"/>
    <w:rsid w:val="00232F67"/>
    <w:rsid w:val="00237D23"/>
    <w:rsid w:val="00240212"/>
    <w:rsid w:val="002469D4"/>
    <w:rsid w:val="00247112"/>
    <w:rsid w:val="00262537"/>
    <w:rsid w:val="002642D0"/>
    <w:rsid w:val="00271791"/>
    <w:rsid w:val="00272AFE"/>
    <w:rsid w:val="00283E04"/>
    <w:rsid w:val="00293B8D"/>
    <w:rsid w:val="00296891"/>
    <w:rsid w:val="002A1834"/>
    <w:rsid w:val="002A3E88"/>
    <w:rsid w:val="002B6252"/>
    <w:rsid w:val="002C1F29"/>
    <w:rsid w:val="002F3462"/>
    <w:rsid w:val="00306132"/>
    <w:rsid w:val="00316168"/>
    <w:rsid w:val="00335974"/>
    <w:rsid w:val="00351BE9"/>
    <w:rsid w:val="00365BE0"/>
    <w:rsid w:val="003751A6"/>
    <w:rsid w:val="00390066"/>
    <w:rsid w:val="003925C4"/>
    <w:rsid w:val="00392925"/>
    <w:rsid w:val="003A1262"/>
    <w:rsid w:val="003A1DCA"/>
    <w:rsid w:val="003A7F0A"/>
    <w:rsid w:val="003B3E25"/>
    <w:rsid w:val="003B3FA4"/>
    <w:rsid w:val="003B56AB"/>
    <w:rsid w:val="003B6E0E"/>
    <w:rsid w:val="003E726E"/>
    <w:rsid w:val="00401D9F"/>
    <w:rsid w:val="0040630B"/>
    <w:rsid w:val="004120B4"/>
    <w:rsid w:val="004130B5"/>
    <w:rsid w:val="00415882"/>
    <w:rsid w:val="00426A9B"/>
    <w:rsid w:val="00434CE3"/>
    <w:rsid w:val="00441D91"/>
    <w:rsid w:val="00442CC5"/>
    <w:rsid w:val="004467D3"/>
    <w:rsid w:val="004507B8"/>
    <w:rsid w:val="00450EB3"/>
    <w:rsid w:val="004549DF"/>
    <w:rsid w:val="00455CCB"/>
    <w:rsid w:val="00457FBA"/>
    <w:rsid w:val="00464F90"/>
    <w:rsid w:val="00476538"/>
    <w:rsid w:val="004768C4"/>
    <w:rsid w:val="004772A7"/>
    <w:rsid w:val="00480670"/>
    <w:rsid w:val="00481312"/>
    <w:rsid w:val="00482C19"/>
    <w:rsid w:val="004976D2"/>
    <w:rsid w:val="004A2738"/>
    <w:rsid w:val="004A4056"/>
    <w:rsid w:val="004B5DB6"/>
    <w:rsid w:val="004C5A19"/>
    <w:rsid w:val="004C74EE"/>
    <w:rsid w:val="004D0B54"/>
    <w:rsid w:val="004D0C73"/>
    <w:rsid w:val="004D4262"/>
    <w:rsid w:val="004E19DD"/>
    <w:rsid w:val="005031E6"/>
    <w:rsid w:val="005077B6"/>
    <w:rsid w:val="0051066F"/>
    <w:rsid w:val="00511D9A"/>
    <w:rsid w:val="00512949"/>
    <w:rsid w:val="005155A0"/>
    <w:rsid w:val="00516BD4"/>
    <w:rsid w:val="0052435B"/>
    <w:rsid w:val="0052453E"/>
    <w:rsid w:val="00531FC9"/>
    <w:rsid w:val="005367C3"/>
    <w:rsid w:val="00550E07"/>
    <w:rsid w:val="00552F1B"/>
    <w:rsid w:val="005671DB"/>
    <w:rsid w:val="00580BD9"/>
    <w:rsid w:val="00593E02"/>
    <w:rsid w:val="005A0D51"/>
    <w:rsid w:val="005A1747"/>
    <w:rsid w:val="005A54E3"/>
    <w:rsid w:val="005B5CBB"/>
    <w:rsid w:val="005C2A4C"/>
    <w:rsid w:val="005E0ED0"/>
    <w:rsid w:val="005F0F79"/>
    <w:rsid w:val="005F3C7F"/>
    <w:rsid w:val="005F4AAB"/>
    <w:rsid w:val="0060093A"/>
    <w:rsid w:val="00604B59"/>
    <w:rsid w:val="0060517C"/>
    <w:rsid w:val="00612876"/>
    <w:rsid w:val="00612C9D"/>
    <w:rsid w:val="00613242"/>
    <w:rsid w:val="00614869"/>
    <w:rsid w:val="00614DEB"/>
    <w:rsid w:val="006177E9"/>
    <w:rsid w:val="00645130"/>
    <w:rsid w:val="00650DB3"/>
    <w:rsid w:val="00653402"/>
    <w:rsid w:val="00661FB4"/>
    <w:rsid w:val="006646A1"/>
    <w:rsid w:val="00687DAB"/>
    <w:rsid w:val="00690241"/>
    <w:rsid w:val="00690649"/>
    <w:rsid w:val="00690D1E"/>
    <w:rsid w:val="0069166C"/>
    <w:rsid w:val="00693BA5"/>
    <w:rsid w:val="006A1603"/>
    <w:rsid w:val="006B2BCE"/>
    <w:rsid w:val="006B5DA3"/>
    <w:rsid w:val="006D050E"/>
    <w:rsid w:val="006E2AA6"/>
    <w:rsid w:val="00702A13"/>
    <w:rsid w:val="00705D14"/>
    <w:rsid w:val="007176B2"/>
    <w:rsid w:val="00724257"/>
    <w:rsid w:val="00734C66"/>
    <w:rsid w:val="007413D9"/>
    <w:rsid w:val="0075001F"/>
    <w:rsid w:val="00750747"/>
    <w:rsid w:val="007654A0"/>
    <w:rsid w:val="00765CBC"/>
    <w:rsid w:val="00766D24"/>
    <w:rsid w:val="0077104E"/>
    <w:rsid w:val="007747FD"/>
    <w:rsid w:val="00774EF7"/>
    <w:rsid w:val="00791358"/>
    <w:rsid w:val="007A5D22"/>
    <w:rsid w:val="007C1F08"/>
    <w:rsid w:val="007D2A51"/>
    <w:rsid w:val="007D63E9"/>
    <w:rsid w:val="007D7769"/>
    <w:rsid w:val="007E2E64"/>
    <w:rsid w:val="007E5FDD"/>
    <w:rsid w:val="008010A4"/>
    <w:rsid w:val="00806A37"/>
    <w:rsid w:val="00806F6E"/>
    <w:rsid w:val="0081030C"/>
    <w:rsid w:val="0083389B"/>
    <w:rsid w:val="0083683F"/>
    <w:rsid w:val="00844338"/>
    <w:rsid w:val="008538F0"/>
    <w:rsid w:val="00854469"/>
    <w:rsid w:val="008647D0"/>
    <w:rsid w:val="00886B9F"/>
    <w:rsid w:val="008878E8"/>
    <w:rsid w:val="00891F6E"/>
    <w:rsid w:val="008A17C5"/>
    <w:rsid w:val="008B4A53"/>
    <w:rsid w:val="008B50F0"/>
    <w:rsid w:val="008B75A3"/>
    <w:rsid w:val="008C102B"/>
    <w:rsid w:val="008D371D"/>
    <w:rsid w:val="008E2CED"/>
    <w:rsid w:val="008E6DED"/>
    <w:rsid w:val="008F0728"/>
    <w:rsid w:val="00902AF5"/>
    <w:rsid w:val="00904E3D"/>
    <w:rsid w:val="0090584E"/>
    <w:rsid w:val="00906420"/>
    <w:rsid w:val="00911997"/>
    <w:rsid w:val="00923742"/>
    <w:rsid w:val="009254DB"/>
    <w:rsid w:val="00926D4A"/>
    <w:rsid w:val="0092708A"/>
    <w:rsid w:val="00936E7C"/>
    <w:rsid w:val="00944F49"/>
    <w:rsid w:val="00961998"/>
    <w:rsid w:val="00963631"/>
    <w:rsid w:val="0096701F"/>
    <w:rsid w:val="00970082"/>
    <w:rsid w:val="009A1A45"/>
    <w:rsid w:val="009B4F3F"/>
    <w:rsid w:val="009B5EB4"/>
    <w:rsid w:val="009C01D7"/>
    <w:rsid w:val="009E3CEC"/>
    <w:rsid w:val="009E4A1A"/>
    <w:rsid w:val="009E6570"/>
    <w:rsid w:val="009E6BB8"/>
    <w:rsid w:val="009E6C74"/>
    <w:rsid w:val="009F5048"/>
    <w:rsid w:val="00A02CC4"/>
    <w:rsid w:val="00A04D12"/>
    <w:rsid w:val="00A21A54"/>
    <w:rsid w:val="00A220E0"/>
    <w:rsid w:val="00A226EA"/>
    <w:rsid w:val="00A22AFE"/>
    <w:rsid w:val="00A25876"/>
    <w:rsid w:val="00A41037"/>
    <w:rsid w:val="00A5089F"/>
    <w:rsid w:val="00A536C8"/>
    <w:rsid w:val="00A80DE6"/>
    <w:rsid w:val="00A83DDC"/>
    <w:rsid w:val="00A91BE0"/>
    <w:rsid w:val="00A92906"/>
    <w:rsid w:val="00AA75CF"/>
    <w:rsid w:val="00AA7B2E"/>
    <w:rsid w:val="00AC6034"/>
    <w:rsid w:val="00AD1CE5"/>
    <w:rsid w:val="00AD4048"/>
    <w:rsid w:val="00AD7631"/>
    <w:rsid w:val="00AE57A8"/>
    <w:rsid w:val="00AF541B"/>
    <w:rsid w:val="00B03FD7"/>
    <w:rsid w:val="00B07708"/>
    <w:rsid w:val="00B13C7E"/>
    <w:rsid w:val="00B14020"/>
    <w:rsid w:val="00B17733"/>
    <w:rsid w:val="00B256EE"/>
    <w:rsid w:val="00B320C9"/>
    <w:rsid w:val="00B440B6"/>
    <w:rsid w:val="00B453FA"/>
    <w:rsid w:val="00B477DE"/>
    <w:rsid w:val="00B60B38"/>
    <w:rsid w:val="00B64F69"/>
    <w:rsid w:val="00B7245B"/>
    <w:rsid w:val="00B81981"/>
    <w:rsid w:val="00B86F6C"/>
    <w:rsid w:val="00B940FD"/>
    <w:rsid w:val="00BA4952"/>
    <w:rsid w:val="00BB1DDF"/>
    <w:rsid w:val="00BC0866"/>
    <w:rsid w:val="00BC2C8F"/>
    <w:rsid w:val="00BC3D33"/>
    <w:rsid w:val="00BD2179"/>
    <w:rsid w:val="00BF0B2B"/>
    <w:rsid w:val="00BF59FD"/>
    <w:rsid w:val="00BF7E45"/>
    <w:rsid w:val="00C03FD3"/>
    <w:rsid w:val="00C106E1"/>
    <w:rsid w:val="00C139C2"/>
    <w:rsid w:val="00C50797"/>
    <w:rsid w:val="00C63359"/>
    <w:rsid w:val="00C66DCA"/>
    <w:rsid w:val="00C72CB7"/>
    <w:rsid w:val="00C74BA0"/>
    <w:rsid w:val="00C74EF3"/>
    <w:rsid w:val="00C77F73"/>
    <w:rsid w:val="00C824B5"/>
    <w:rsid w:val="00C8762B"/>
    <w:rsid w:val="00C91837"/>
    <w:rsid w:val="00C9322C"/>
    <w:rsid w:val="00CA1E89"/>
    <w:rsid w:val="00CA4BA9"/>
    <w:rsid w:val="00CA6F62"/>
    <w:rsid w:val="00CA7BA4"/>
    <w:rsid w:val="00CB19F9"/>
    <w:rsid w:val="00CC342C"/>
    <w:rsid w:val="00CC3C9A"/>
    <w:rsid w:val="00CD06EE"/>
    <w:rsid w:val="00CE0A21"/>
    <w:rsid w:val="00CE2A20"/>
    <w:rsid w:val="00D36515"/>
    <w:rsid w:val="00D47E06"/>
    <w:rsid w:val="00D52712"/>
    <w:rsid w:val="00D55EBE"/>
    <w:rsid w:val="00D6130A"/>
    <w:rsid w:val="00D71E19"/>
    <w:rsid w:val="00D85A12"/>
    <w:rsid w:val="00D90071"/>
    <w:rsid w:val="00D93A8C"/>
    <w:rsid w:val="00D968EF"/>
    <w:rsid w:val="00DA5349"/>
    <w:rsid w:val="00DB0B0C"/>
    <w:rsid w:val="00DC06A0"/>
    <w:rsid w:val="00DC30E2"/>
    <w:rsid w:val="00DC5F08"/>
    <w:rsid w:val="00DD53F9"/>
    <w:rsid w:val="00DF29CB"/>
    <w:rsid w:val="00E05017"/>
    <w:rsid w:val="00E074A8"/>
    <w:rsid w:val="00E134E4"/>
    <w:rsid w:val="00E31A41"/>
    <w:rsid w:val="00E614B2"/>
    <w:rsid w:val="00E6364F"/>
    <w:rsid w:val="00E65E4E"/>
    <w:rsid w:val="00E664F2"/>
    <w:rsid w:val="00E702AE"/>
    <w:rsid w:val="00E769DA"/>
    <w:rsid w:val="00E807C0"/>
    <w:rsid w:val="00E877A8"/>
    <w:rsid w:val="00E946AF"/>
    <w:rsid w:val="00EA0C97"/>
    <w:rsid w:val="00EA61DD"/>
    <w:rsid w:val="00EA74F8"/>
    <w:rsid w:val="00EB06CA"/>
    <w:rsid w:val="00ED3214"/>
    <w:rsid w:val="00ED5107"/>
    <w:rsid w:val="00ED594F"/>
    <w:rsid w:val="00ED5984"/>
    <w:rsid w:val="00EE2E70"/>
    <w:rsid w:val="00EE755E"/>
    <w:rsid w:val="00EE79C3"/>
    <w:rsid w:val="00EF2917"/>
    <w:rsid w:val="00F02B06"/>
    <w:rsid w:val="00F03BF7"/>
    <w:rsid w:val="00F046AE"/>
    <w:rsid w:val="00F10549"/>
    <w:rsid w:val="00F13796"/>
    <w:rsid w:val="00F36277"/>
    <w:rsid w:val="00F42045"/>
    <w:rsid w:val="00F52ECC"/>
    <w:rsid w:val="00F80E8B"/>
    <w:rsid w:val="00F814FB"/>
    <w:rsid w:val="00F91FE3"/>
    <w:rsid w:val="00F92199"/>
    <w:rsid w:val="00F9370B"/>
    <w:rsid w:val="00F95AE2"/>
    <w:rsid w:val="00F95DB8"/>
    <w:rsid w:val="00FB115F"/>
    <w:rsid w:val="00FB1F54"/>
    <w:rsid w:val="00FC2745"/>
    <w:rsid w:val="00FC2DA1"/>
    <w:rsid w:val="00FC50A8"/>
    <w:rsid w:val="00FD294C"/>
    <w:rsid w:val="00FE48B2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1E1AB8B"/>
  <w15:docId w15:val="{4D00D82F-B967-4210-AF62-2313C38B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0A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83DDC"/>
    <w:pPr>
      <w:spacing w:before="100" w:beforeAutospacing="1" w:after="100" w:afterAutospacing="1"/>
      <w:outlineLvl w:val="1"/>
    </w:pPr>
    <w:rPr>
      <w:b/>
      <w:bCs/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1A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rsid w:val="00306132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semiHidden/>
    <w:rsid w:val="00306132"/>
    <w:rPr>
      <w:rFonts w:ascii="Cambria" w:hAnsi="Cambria" w:cs="Cambria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rsid w:val="008010A4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link w:val="BodyTextChar"/>
    <w:uiPriority w:val="99"/>
    <w:rsid w:val="008010A4"/>
    <w:pPr>
      <w:pBdr>
        <w:left w:val="single" w:sz="6" w:space="0" w:color="333333"/>
        <w:right w:val="single" w:sz="6" w:space="0" w:color="333333"/>
      </w:pBdr>
      <w:spacing w:before="100" w:beforeAutospacing="1" w:after="100" w:afterAutospacing="1"/>
    </w:pPr>
    <w:rPr>
      <w:lang w:val="en-US"/>
    </w:rPr>
  </w:style>
  <w:style w:type="character" w:customStyle="1" w:styleId="BodyTextChar">
    <w:name w:val="Body Text Char"/>
    <w:link w:val="BodyText"/>
    <w:uiPriority w:val="99"/>
    <w:semiHidden/>
    <w:rsid w:val="00306132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80D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6132"/>
    <w:rPr>
      <w:sz w:val="2"/>
      <w:szCs w:val="2"/>
      <w:lang w:eastAsia="en-US"/>
    </w:rPr>
  </w:style>
  <w:style w:type="paragraph" w:styleId="PlainText">
    <w:name w:val="Plain Text"/>
    <w:basedOn w:val="Normal"/>
    <w:link w:val="PlainTextChar"/>
    <w:uiPriority w:val="99"/>
    <w:rsid w:val="00AD7631"/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PlainTextChar">
    <w:name w:val="Plain Text Char"/>
    <w:link w:val="PlainText"/>
    <w:uiPriority w:val="99"/>
    <w:semiHidden/>
    <w:rsid w:val="00306132"/>
    <w:rPr>
      <w:rFonts w:ascii="Courier New" w:hAnsi="Courier New" w:cs="Courier New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AD7631"/>
    <w:pPr>
      <w:tabs>
        <w:tab w:val="center" w:pos="4320"/>
        <w:tab w:val="right" w:pos="8640"/>
      </w:tabs>
    </w:pPr>
    <w:rPr>
      <w:lang w:val="en-US"/>
    </w:rPr>
  </w:style>
  <w:style w:type="character" w:customStyle="1" w:styleId="FooterChar">
    <w:name w:val="Footer Char"/>
    <w:link w:val="Footer"/>
    <w:uiPriority w:val="99"/>
    <w:semiHidden/>
    <w:rsid w:val="00306132"/>
    <w:rPr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434CE3"/>
    <w:pPr>
      <w:jc w:val="center"/>
    </w:pPr>
    <w:rPr>
      <w:b/>
      <w:bCs/>
      <w:sz w:val="28"/>
      <w:szCs w:val="28"/>
      <w:lang w:val="en-US"/>
    </w:rPr>
  </w:style>
  <w:style w:type="character" w:customStyle="1" w:styleId="TitleChar">
    <w:name w:val="Title Char"/>
    <w:link w:val="Title"/>
    <w:uiPriority w:val="99"/>
    <w:rsid w:val="00306132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CharChar">
    <w:name w:val="Char Char"/>
    <w:basedOn w:val="Normal"/>
    <w:uiPriority w:val="99"/>
    <w:rsid w:val="00076D1C"/>
    <w:rPr>
      <w:lang w:val="pl-PL" w:eastAsia="pl-PL"/>
    </w:rPr>
  </w:style>
  <w:style w:type="paragraph" w:customStyle="1" w:styleId="CharChar2">
    <w:name w:val="Char Char2"/>
    <w:basedOn w:val="Normal"/>
    <w:uiPriority w:val="99"/>
    <w:rsid w:val="006B2BCE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96891"/>
    <w:rPr>
      <w:lang w:val="pl-PL" w:eastAsia="pl-PL"/>
    </w:rPr>
  </w:style>
  <w:style w:type="paragraph" w:customStyle="1" w:styleId="Char1CharChar">
    <w:name w:val="Char1 Char Char"/>
    <w:basedOn w:val="Normal"/>
    <w:uiPriority w:val="99"/>
    <w:rsid w:val="009A1A45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0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720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Proiect de hotărâre</vt:lpstr>
    </vt:vector>
  </TitlesOfParts>
  <Company>Primaria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Proiect de hotărâre</dc:title>
  <dc:subject/>
  <dc:creator>Csilla</dc:creator>
  <cp:keywords/>
  <dc:description/>
  <cp:lastModifiedBy>Tunde</cp:lastModifiedBy>
  <cp:revision>31</cp:revision>
  <cp:lastPrinted>2021-11-12T11:57:00Z</cp:lastPrinted>
  <dcterms:created xsi:type="dcterms:W3CDTF">2022-02-09T10:01:00Z</dcterms:created>
  <dcterms:modified xsi:type="dcterms:W3CDTF">2022-03-21T06:56:00Z</dcterms:modified>
</cp:coreProperties>
</file>