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5F5" w:rsidRPr="008B1577" w:rsidRDefault="00EE55F5" w:rsidP="006A0033">
      <w:pPr>
        <w:rPr>
          <w:lang w:val="hu-HU"/>
        </w:rPr>
      </w:pPr>
      <w:r w:rsidRPr="008B1577">
        <w:rPr>
          <w:lang w:val="hu-HU"/>
        </w:rPr>
        <w:t>Nr.</w:t>
      </w:r>
      <w:r w:rsidR="00657304" w:rsidRPr="008B1577">
        <w:rPr>
          <w:lang w:val="hu-HU"/>
        </w:rPr>
        <w:t xml:space="preserve"> </w:t>
      </w:r>
      <w:r w:rsidR="004F218C" w:rsidRPr="008B1577">
        <w:rPr>
          <w:lang w:val="hu-HU"/>
        </w:rPr>
        <w:t>29334/28.04.2022</w:t>
      </w:r>
    </w:p>
    <w:p w:rsidR="00EE55F5" w:rsidRDefault="00EE55F5" w:rsidP="006A0033">
      <w:pPr>
        <w:rPr>
          <w:b/>
        </w:rPr>
      </w:pPr>
    </w:p>
    <w:p w:rsidR="00657304" w:rsidRPr="00D61EAC" w:rsidRDefault="00657304" w:rsidP="006A0033">
      <w:pPr>
        <w:rPr>
          <w:b/>
        </w:rPr>
      </w:pPr>
    </w:p>
    <w:p w:rsidR="00EE55F5" w:rsidRPr="00D61EAC" w:rsidRDefault="00EE55F5" w:rsidP="006A0033">
      <w:pPr>
        <w:jc w:val="center"/>
        <w:rPr>
          <w:b/>
        </w:rPr>
      </w:pPr>
      <w:r w:rsidRPr="00D61EAC">
        <w:rPr>
          <w:b/>
        </w:rPr>
        <w:t>PROIECT DE HOTĂRÂRE</w:t>
      </w:r>
    </w:p>
    <w:p w:rsidR="00C23743" w:rsidRPr="005B0879" w:rsidRDefault="00EE55F5" w:rsidP="006A0033">
      <w:pPr>
        <w:jc w:val="center"/>
        <w:rPr>
          <w:b/>
        </w:rPr>
      </w:pPr>
      <w:r w:rsidRPr="00D61EAC">
        <w:rPr>
          <w:b/>
        </w:rPr>
        <w:t xml:space="preserve">pentru aprobarea </w:t>
      </w:r>
      <w:r w:rsidR="005B0879">
        <w:rPr>
          <w:b/>
        </w:rPr>
        <w:t xml:space="preserve">Programului multianual de finanțare a reamenajării spațiilor verzi aferente blocurilor de locuit </w:t>
      </w:r>
      <w:r w:rsidRPr="005B0879">
        <w:rPr>
          <w:b/>
        </w:rPr>
        <w:t>pe teritoriul Municipiului Sfântu Gheorghe</w:t>
      </w:r>
    </w:p>
    <w:p w:rsidR="00EE55F5" w:rsidRPr="00481068" w:rsidRDefault="00EE55F5" w:rsidP="006A0033">
      <w:pPr>
        <w:jc w:val="center"/>
        <w:rPr>
          <w:b/>
          <w:color w:val="FF0000"/>
        </w:rPr>
      </w:pPr>
    </w:p>
    <w:p w:rsidR="005B0879" w:rsidRPr="00D61EAC" w:rsidRDefault="00EE55F5" w:rsidP="00657304">
      <w:pPr>
        <w:ind w:firstLine="567"/>
        <w:jc w:val="both"/>
        <w:rPr>
          <w:b/>
        </w:rPr>
      </w:pPr>
      <w:r w:rsidRPr="00D61EAC">
        <w:rPr>
          <w:b/>
        </w:rPr>
        <w:t>Consiliul  Local al Municipiului Sfântu Gheorghe, în ședință ordinară;</w:t>
      </w:r>
    </w:p>
    <w:p w:rsidR="00EE55F5" w:rsidRPr="00D61EAC" w:rsidRDefault="00EE55F5" w:rsidP="00657304">
      <w:pPr>
        <w:ind w:firstLine="567"/>
        <w:jc w:val="both"/>
      </w:pPr>
      <w:r w:rsidRPr="00D61EAC">
        <w:t xml:space="preserve">Având în vedere Referatul de aprobare nr. </w:t>
      </w:r>
      <w:r w:rsidR="004F218C">
        <w:t xml:space="preserve">29332/28.04.2022 </w:t>
      </w:r>
      <w:r w:rsidRPr="00D61EAC">
        <w:t>al viceprimarului municipiului Sfântu Gheorghe dl. T</w:t>
      </w:r>
      <w:r w:rsidR="006A0033">
        <w:t>o</w:t>
      </w:r>
      <w:r w:rsidRPr="00D61EAC">
        <w:t>th-Birtan Csaba;</w:t>
      </w:r>
    </w:p>
    <w:p w:rsidR="00EE55F5" w:rsidRDefault="00EE55F5" w:rsidP="00657304">
      <w:pPr>
        <w:ind w:firstLine="567"/>
        <w:jc w:val="both"/>
      </w:pPr>
      <w:r w:rsidRPr="00D61EAC">
        <w:t>Având în vedere Raportul de specialitate</w:t>
      </w:r>
      <w:r w:rsidR="004F218C">
        <w:t xml:space="preserve"> </w:t>
      </w:r>
      <w:r w:rsidR="00657304">
        <w:t xml:space="preserve">nr. </w:t>
      </w:r>
      <w:r w:rsidR="004F218C">
        <w:t xml:space="preserve">29333/28.04.2022 </w:t>
      </w:r>
      <w:r w:rsidRPr="00D61EAC">
        <w:t>al Direc</w:t>
      </w:r>
      <w:r>
        <w:t>ț</w:t>
      </w:r>
      <w:r w:rsidRPr="00D61EAC">
        <w:t xml:space="preserve">iei </w:t>
      </w:r>
      <w:r w:rsidR="00464765">
        <w:t>generale</w:t>
      </w:r>
      <w:r w:rsidR="00464765" w:rsidRPr="00464765">
        <w:t xml:space="preserve"> de gospodărire comunală </w:t>
      </w:r>
      <w:r w:rsidRPr="00D61EAC">
        <w:t>din cadrul Primăriei municipiului Sfântu Gheorghe;</w:t>
      </w:r>
    </w:p>
    <w:p w:rsidR="00EE55F5" w:rsidRPr="00C23743" w:rsidRDefault="00A7039B" w:rsidP="00657304">
      <w:pPr>
        <w:ind w:firstLine="567"/>
        <w:jc w:val="both"/>
      </w:pPr>
      <w:r w:rsidRPr="00EA7464">
        <w:t>Având în vedere Referatele de specialitate ale comisiilor Consiliului Local al Municipiului Sfântu Gheorghe</w:t>
      </w:r>
      <w:r w:rsidR="006A0033">
        <w:t>;</w:t>
      </w:r>
    </w:p>
    <w:p w:rsidR="00EE55F5" w:rsidRDefault="00AF39F1" w:rsidP="00AF39F1">
      <w:pPr>
        <w:ind w:firstLine="567"/>
        <w:jc w:val="both"/>
      </w:pPr>
      <w:r>
        <w:t xml:space="preserve">Având în vedere </w:t>
      </w:r>
      <w:r w:rsidR="00EE55F5">
        <w:t>Legea nr. 24/2007 privind reglementarea și administrarea spațiilor verzi din intravilanul localităților, republicată, cu modificările și completările ulterioare;</w:t>
      </w:r>
    </w:p>
    <w:p w:rsidR="00EE55F5" w:rsidRDefault="00AF39F1" w:rsidP="00016159">
      <w:pPr>
        <w:pStyle w:val="ListParagraph"/>
        <w:ind w:left="0" w:firstLine="567"/>
      </w:pPr>
      <w:r>
        <w:t xml:space="preserve">Având în vedere </w:t>
      </w:r>
      <w:r w:rsidR="00EE55F5">
        <w:t>Legea nr. 273/2006 privind finanțele publice locale, cu modificările</w:t>
      </w:r>
      <w:r w:rsidR="005B0879">
        <w:t xml:space="preserve"> </w:t>
      </w:r>
      <w:r w:rsidR="00EE55F5">
        <w:t>și completările ulterioare;</w:t>
      </w:r>
    </w:p>
    <w:p w:rsidR="00EE55F5" w:rsidRDefault="00AF39F1" w:rsidP="00016159">
      <w:pPr>
        <w:pStyle w:val="ListParagraph"/>
        <w:ind w:left="0" w:firstLine="567"/>
      </w:pPr>
      <w:r>
        <w:t xml:space="preserve">Având în vedere </w:t>
      </w:r>
      <w:r w:rsidR="00EE55F5">
        <w:t xml:space="preserve">Legea nr. 350/2001 </w:t>
      </w:r>
      <w:r w:rsidR="005951BD">
        <w:t xml:space="preserve">privind amenajarea teritoriului </w:t>
      </w:r>
      <w:r w:rsidR="00EE55F5">
        <w:t>și urbanismul, cu modificările și completările ulterioare;</w:t>
      </w:r>
    </w:p>
    <w:p w:rsidR="00EE55F5" w:rsidRDefault="00AF39F1" w:rsidP="00016159">
      <w:pPr>
        <w:pStyle w:val="ListParagraph"/>
        <w:ind w:left="0" w:firstLine="567"/>
      </w:pPr>
      <w:r>
        <w:t xml:space="preserve">Având în vedere </w:t>
      </w:r>
      <w:r w:rsidR="00EE55F5">
        <w:t>Ordonanța de Urgență a Guvernului nr. 195/2005 privind protecția mediului, cu modificările și completările ulterioare;</w:t>
      </w:r>
    </w:p>
    <w:p w:rsidR="00EA14C9" w:rsidRDefault="00AF39F1" w:rsidP="00016159">
      <w:pPr>
        <w:pStyle w:val="ListParagraph"/>
        <w:ind w:left="0" w:firstLine="567"/>
      </w:pPr>
      <w:r>
        <w:t xml:space="preserve">Având în vedere </w:t>
      </w:r>
      <w:r w:rsidR="00EE55F5">
        <w:t>Ordonanța Guvernului nr. 21/2002 privind gospodărirea localităților urbane și rurale, cu modificările și completă</w:t>
      </w:r>
      <w:r w:rsidR="00500F23">
        <w:t>rile ulterioare;</w:t>
      </w:r>
    </w:p>
    <w:p w:rsidR="00EA14C9" w:rsidRDefault="00EA14C9" w:rsidP="00EA14C9">
      <w:pPr>
        <w:pStyle w:val="ListParagraph"/>
        <w:ind w:left="0" w:firstLine="567"/>
      </w:pPr>
      <w:r w:rsidRPr="00115E8E">
        <w:rPr>
          <w:noProof/>
        </w:rPr>
        <w:t>Având în vedere parcurgerea procedurii prevăzute la art. 7 din Legea nr. 52/2003 privind transparenţa decizională în administraţia publică</w:t>
      </w:r>
      <w:r>
        <w:rPr>
          <w:noProof/>
        </w:rPr>
        <w:t>, republicată, cu modificările ulterioare;</w:t>
      </w:r>
    </w:p>
    <w:p w:rsidR="00F22811" w:rsidRPr="00C23743" w:rsidRDefault="00F22811" w:rsidP="00657304">
      <w:pPr>
        <w:ind w:firstLine="567"/>
        <w:jc w:val="both"/>
        <w:outlineLvl w:val="4"/>
      </w:pPr>
      <w:r w:rsidRPr="00C23743">
        <w:t>În temeiul art. 139 alin (1</w:t>
      </w:r>
      <w:r w:rsidR="00C23743" w:rsidRPr="00C23743">
        <w:t>)</w:t>
      </w:r>
      <w:r w:rsidR="00A7039B">
        <w:t>,</w:t>
      </w:r>
      <w:r w:rsidR="00C23743">
        <w:t xml:space="preserve"> </w:t>
      </w:r>
      <w:r w:rsidRPr="00C23743">
        <w:t xml:space="preserve"> art. 129 alin. (2) lit. b),</w:t>
      </w:r>
      <w:r w:rsidR="008A7872">
        <w:t xml:space="preserve"> c),</w:t>
      </w:r>
      <w:r w:rsidRPr="00C23743">
        <w:t xml:space="preserve"> alin (4), lit. </w:t>
      </w:r>
      <w:r w:rsidR="008A7872">
        <w:t>f</w:t>
      </w:r>
      <w:r w:rsidRPr="00C23743">
        <w:t>), alin (7) lit. i) din Ordonanța de Urgență a Guvernului nr. 57/2019 privind Codul administrativ, cu modificările și completările ulterioare;</w:t>
      </w:r>
    </w:p>
    <w:p w:rsidR="00E53BEA" w:rsidRDefault="00E53BEA" w:rsidP="00657304">
      <w:pPr>
        <w:ind w:firstLine="567"/>
        <w:jc w:val="both"/>
        <w:rPr>
          <w:b/>
          <w:i/>
        </w:rPr>
      </w:pPr>
    </w:p>
    <w:p w:rsidR="00EE55F5" w:rsidRDefault="00EE55F5" w:rsidP="00657304">
      <w:pPr>
        <w:ind w:firstLine="567"/>
        <w:jc w:val="center"/>
        <w:rPr>
          <w:b/>
        </w:rPr>
      </w:pPr>
      <w:r w:rsidRPr="00D61EAC">
        <w:rPr>
          <w:b/>
        </w:rPr>
        <w:t>HOTĂRĂȘTE</w:t>
      </w:r>
    </w:p>
    <w:p w:rsidR="00EE55F5" w:rsidRPr="00D61EAC" w:rsidRDefault="00EE55F5" w:rsidP="00657304">
      <w:pPr>
        <w:ind w:firstLine="567"/>
        <w:jc w:val="both"/>
        <w:rPr>
          <w:b/>
        </w:rPr>
      </w:pPr>
    </w:p>
    <w:p w:rsidR="00F4314B" w:rsidRDefault="00EE55F5" w:rsidP="00657304">
      <w:pPr>
        <w:spacing w:line="276" w:lineRule="auto"/>
        <w:ind w:firstLine="567"/>
        <w:jc w:val="both"/>
      </w:pPr>
      <w:r w:rsidRPr="00D61EAC">
        <w:rPr>
          <w:b/>
        </w:rPr>
        <w:t>ART. 1</w:t>
      </w:r>
      <w:r w:rsidRPr="00D61EAC">
        <w:t xml:space="preserve">. </w:t>
      </w:r>
      <w:r>
        <w:t>– Se instituie Programul multianual de finanțare a reamenajării spațiilor verzi</w:t>
      </w:r>
      <w:r w:rsidR="00F4314B">
        <w:t xml:space="preserve"> aferente blocurilor de locuit</w:t>
      </w:r>
      <w:r w:rsidR="00EF2E7E">
        <w:t xml:space="preserve"> pe teritoriul Municipiului Sfântu Gheorghe</w:t>
      </w:r>
      <w:r w:rsidR="00F4314B">
        <w:t>.</w:t>
      </w:r>
    </w:p>
    <w:p w:rsidR="00EF2E7E" w:rsidRDefault="000E5A72" w:rsidP="00657304">
      <w:pPr>
        <w:spacing w:line="276" w:lineRule="auto"/>
        <w:ind w:firstLine="567"/>
        <w:jc w:val="both"/>
      </w:pPr>
      <w:r>
        <w:rPr>
          <w:b/>
        </w:rPr>
        <w:t>ART. 2</w:t>
      </w:r>
      <w:r w:rsidRPr="00D61EAC">
        <w:t xml:space="preserve">. </w:t>
      </w:r>
      <w:r>
        <w:t xml:space="preserve">– </w:t>
      </w:r>
      <w:r w:rsidR="00EF2E7E" w:rsidRPr="00EF2E7E">
        <w:t xml:space="preserve">Se aprobă Regulamentul </w:t>
      </w:r>
      <w:r w:rsidR="00372147">
        <w:t>Programului multianu</w:t>
      </w:r>
      <w:bookmarkStart w:id="0" w:name="_GoBack"/>
      <w:bookmarkEnd w:id="0"/>
      <w:r w:rsidR="00372147">
        <w:t>al de finanțare a reamenajării spațiilor verzi aferente blocurilor de locuit pe teritoriul Municipiului Sfântu Gheorghe</w:t>
      </w:r>
      <w:r w:rsidR="00075ED1">
        <w:t xml:space="preserve">, </w:t>
      </w:r>
      <w:r w:rsidR="00075ED1" w:rsidRPr="00075ED1">
        <w:t>anexa nr. 1 la prezenta hotărâre din care face parte integrantă.</w:t>
      </w:r>
    </w:p>
    <w:p w:rsidR="005B0879" w:rsidRPr="009621E1" w:rsidRDefault="009621E1" w:rsidP="00657304">
      <w:pPr>
        <w:spacing w:line="276" w:lineRule="auto"/>
        <w:ind w:firstLine="567"/>
        <w:jc w:val="both"/>
      </w:pPr>
      <w:r w:rsidRPr="009621E1">
        <w:rPr>
          <w:b/>
        </w:rPr>
        <w:t xml:space="preserve">ART. </w:t>
      </w:r>
      <w:r w:rsidR="00F57D83">
        <w:rPr>
          <w:b/>
        </w:rPr>
        <w:t>3</w:t>
      </w:r>
      <w:r w:rsidRPr="009621E1">
        <w:rPr>
          <w:b/>
        </w:rPr>
        <w:t>.</w:t>
      </w:r>
      <w:r w:rsidRPr="009621E1">
        <w:t xml:space="preserve"> – </w:t>
      </w:r>
      <w:r>
        <w:t>Se aprobă b</w:t>
      </w:r>
      <w:r w:rsidRPr="009621E1">
        <w:t>uget</w:t>
      </w:r>
      <w:r>
        <w:t>ul</w:t>
      </w:r>
      <w:r w:rsidRPr="009621E1">
        <w:t xml:space="preserve"> </w:t>
      </w:r>
      <w:r>
        <w:t>Programului multianual de finanțare a reamenajării spațiilor verzi aferente blocurilor de locuit</w:t>
      </w:r>
      <w:r w:rsidRPr="009621E1">
        <w:t xml:space="preserve"> </w:t>
      </w:r>
      <w:r w:rsidR="00415218">
        <w:t>pe teritoriul Municipiului Sfântu Gheorghe</w:t>
      </w:r>
      <w:r w:rsidR="00415218" w:rsidRPr="009621E1">
        <w:t xml:space="preserve"> </w:t>
      </w:r>
      <w:r w:rsidRPr="009621E1">
        <w:t>pe anul 2022</w:t>
      </w:r>
      <w:r>
        <w:t xml:space="preserve"> </w:t>
      </w:r>
      <w:r w:rsidR="00DB1881">
        <w:t>în sumă</w:t>
      </w:r>
      <w:r w:rsidR="00563B56">
        <w:t xml:space="preserve"> </w:t>
      </w:r>
      <w:r>
        <w:t xml:space="preserve">de </w:t>
      </w:r>
      <w:r w:rsidRPr="009621E1">
        <w:t>1.000.000 lei.</w:t>
      </w:r>
    </w:p>
    <w:p w:rsidR="00EE55F5" w:rsidRDefault="00EE55F5" w:rsidP="00657304">
      <w:pPr>
        <w:spacing w:line="276" w:lineRule="auto"/>
        <w:ind w:firstLine="567"/>
        <w:jc w:val="both"/>
      </w:pPr>
      <w:r w:rsidRPr="00D61EAC">
        <w:rPr>
          <w:b/>
        </w:rPr>
        <w:t xml:space="preserve">ART. </w:t>
      </w:r>
      <w:r w:rsidR="00F57D83">
        <w:rPr>
          <w:b/>
        </w:rPr>
        <w:t>4</w:t>
      </w:r>
      <w:r>
        <w:rPr>
          <w:b/>
        </w:rPr>
        <w:t>.</w:t>
      </w:r>
      <w:r w:rsidR="009621E1">
        <w:t xml:space="preserve"> </w:t>
      </w:r>
      <w:r w:rsidRPr="00D61EAC">
        <w:t>–</w:t>
      </w:r>
      <w:r w:rsidRPr="00D61EAC">
        <w:rPr>
          <w:b/>
        </w:rPr>
        <w:t xml:space="preserve"> </w:t>
      </w:r>
      <w:r w:rsidRPr="00D61EAC">
        <w:t>Cu executarea prevederilor prezentei hotărâri se încredințează</w:t>
      </w:r>
      <w:r>
        <w:t xml:space="preserve"> domnul viceprimar Toth-Birtan Csaba,</w:t>
      </w:r>
      <w:r w:rsidRPr="00D61EAC">
        <w:t xml:space="preserve"> Direcția Generală de Gospodărire Comunală</w:t>
      </w:r>
      <w:r>
        <w:t xml:space="preserve"> și Direcția Generală Economică și Finanțe Publice Municipale</w:t>
      </w:r>
      <w:r w:rsidR="00AE259F">
        <w:t xml:space="preserve"> din cadrul Primăriei m</w:t>
      </w:r>
      <w:r w:rsidRPr="00D61EAC">
        <w:t>unicipiului Sfântu Gheorghe.</w:t>
      </w:r>
    </w:p>
    <w:p w:rsidR="006A0033" w:rsidRPr="00D61EAC" w:rsidRDefault="006A0033" w:rsidP="00657304">
      <w:pPr>
        <w:ind w:firstLine="567"/>
        <w:jc w:val="both"/>
      </w:pPr>
    </w:p>
    <w:p w:rsidR="00EE55F5" w:rsidRPr="00D61EAC" w:rsidRDefault="00EE55F5" w:rsidP="00657304">
      <w:pPr>
        <w:ind w:firstLine="567"/>
        <w:jc w:val="both"/>
      </w:pPr>
    </w:p>
    <w:p w:rsidR="00EE55F5" w:rsidRPr="00D61EAC" w:rsidRDefault="00EE55F5" w:rsidP="00657304">
      <w:pPr>
        <w:ind w:firstLine="567"/>
        <w:jc w:val="both"/>
      </w:pPr>
      <w:r w:rsidRPr="00D61EAC">
        <w:t>Sfântu Gheorghe, la _____________2022.</w:t>
      </w:r>
    </w:p>
    <w:p w:rsidR="00657304" w:rsidRDefault="00657304" w:rsidP="00657304">
      <w:pPr>
        <w:ind w:firstLine="567"/>
        <w:jc w:val="both"/>
        <w:outlineLvl w:val="4"/>
        <w:rPr>
          <w:b/>
        </w:rPr>
      </w:pPr>
    </w:p>
    <w:p w:rsidR="00C23743" w:rsidRPr="00EE55F5" w:rsidRDefault="00EE55F5" w:rsidP="00657304">
      <w:pPr>
        <w:ind w:firstLine="567"/>
        <w:jc w:val="both"/>
        <w:outlineLvl w:val="4"/>
        <w:rPr>
          <w:b/>
        </w:rPr>
      </w:pPr>
      <w:r w:rsidRPr="00D61EAC">
        <w:rPr>
          <w:b/>
        </w:rPr>
        <w:t>PREŞEDINTE DE ȘEDINȚĂ</w:t>
      </w:r>
    </w:p>
    <w:sectPr w:rsidR="00C23743" w:rsidRPr="00EE55F5" w:rsidSect="00240558">
      <w:pgSz w:w="11907" w:h="16840" w:code="9"/>
      <w:pgMar w:top="851" w:right="1418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E74F8A"/>
    <w:multiLevelType w:val="hybridMultilevel"/>
    <w:tmpl w:val="C74E8518"/>
    <w:lvl w:ilvl="0" w:tplc="4F3ABDBA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4983706F"/>
    <w:multiLevelType w:val="hybridMultilevel"/>
    <w:tmpl w:val="40C42B3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5F5"/>
    <w:rsid w:val="00013996"/>
    <w:rsid w:val="00016159"/>
    <w:rsid w:val="00075ED1"/>
    <w:rsid w:val="000E5A72"/>
    <w:rsid w:val="00222D5D"/>
    <w:rsid w:val="00240558"/>
    <w:rsid w:val="00372147"/>
    <w:rsid w:val="003C706B"/>
    <w:rsid w:val="00404392"/>
    <w:rsid w:val="00415218"/>
    <w:rsid w:val="00464765"/>
    <w:rsid w:val="0048625F"/>
    <w:rsid w:val="004F218C"/>
    <w:rsid w:val="004F54A0"/>
    <w:rsid w:val="00500F23"/>
    <w:rsid w:val="00563B56"/>
    <w:rsid w:val="005649E1"/>
    <w:rsid w:val="005951BD"/>
    <w:rsid w:val="005B0879"/>
    <w:rsid w:val="005C4737"/>
    <w:rsid w:val="005E1BC8"/>
    <w:rsid w:val="00636B5B"/>
    <w:rsid w:val="00657304"/>
    <w:rsid w:val="006A0033"/>
    <w:rsid w:val="006E69CD"/>
    <w:rsid w:val="00794E2F"/>
    <w:rsid w:val="007C3A4A"/>
    <w:rsid w:val="008243D4"/>
    <w:rsid w:val="00877338"/>
    <w:rsid w:val="008A7872"/>
    <w:rsid w:val="008B1577"/>
    <w:rsid w:val="009621E1"/>
    <w:rsid w:val="00963768"/>
    <w:rsid w:val="00A24931"/>
    <w:rsid w:val="00A331D5"/>
    <w:rsid w:val="00A7039B"/>
    <w:rsid w:val="00AA4244"/>
    <w:rsid w:val="00AB0E21"/>
    <w:rsid w:val="00AE259F"/>
    <w:rsid w:val="00AF39F1"/>
    <w:rsid w:val="00B30EA0"/>
    <w:rsid w:val="00BB4D06"/>
    <w:rsid w:val="00C23743"/>
    <w:rsid w:val="00C80C2D"/>
    <w:rsid w:val="00CD5C4B"/>
    <w:rsid w:val="00DB1881"/>
    <w:rsid w:val="00DD3440"/>
    <w:rsid w:val="00DF3420"/>
    <w:rsid w:val="00E53BEA"/>
    <w:rsid w:val="00EA14C9"/>
    <w:rsid w:val="00EE55F5"/>
    <w:rsid w:val="00EF2E7E"/>
    <w:rsid w:val="00EF4C7E"/>
    <w:rsid w:val="00F22811"/>
    <w:rsid w:val="00F4314B"/>
    <w:rsid w:val="00F57D83"/>
    <w:rsid w:val="00F67D06"/>
    <w:rsid w:val="00FC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7EE59"/>
  <w15:chartTrackingRefBased/>
  <w15:docId w15:val="{4F576FFB-D90B-4497-AA80-C74325FEA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55F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55F5"/>
    <w:pPr>
      <w:ind w:left="119" w:hanging="351"/>
      <w:jc w:val="both"/>
    </w:pPr>
  </w:style>
  <w:style w:type="character" w:customStyle="1" w:styleId="ar">
    <w:name w:val="ar"/>
    <w:basedOn w:val="DefaultParagraphFont"/>
    <w:rsid w:val="00E53BEA"/>
  </w:style>
  <w:style w:type="character" w:customStyle="1" w:styleId="tar">
    <w:name w:val="tar"/>
    <w:basedOn w:val="DefaultParagraphFont"/>
    <w:rsid w:val="00E53BEA"/>
  </w:style>
  <w:style w:type="character" w:customStyle="1" w:styleId="al">
    <w:name w:val="al"/>
    <w:basedOn w:val="DefaultParagraphFont"/>
    <w:rsid w:val="00E53BEA"/>
  </w:style>
  <w:style w:type="character" w:customStyle="1" w:styleId="tal">
    <w:name w:val="tal"/>
    <w:basedOn w:val="DefaultParagraphFont"/>
    <w:rsid w:val="00E53BEA"/>
  </w:style>
  <w:style w:type="character" w:customStyle="1" w:styleId="li">
    <w:name w:val="li"/>
    <w:basedOn w:val="DefaultParagraphFont"/>
    <w:rsid w:val="00E53BEA"/>
  </w:style>
  <w:style w:type="character" w:customStyle="1" w:styleId="tli">
    <w:name w:val="tli"/>
    <w:basedOn w:val="DefaultParagraphFont"/>
    <w:rsid w:val="00E53BEA"/>
  </w:style>
  <w:style w:type="paragraph" w:styleId="BalloonText">
    <w:name w:val="Balloon Text"/>
    <w:basedOn w:val="Normal"/>
    <w:link w:val="BalloonTextChar"/>
    <w:uiPriority w:val="99"/>
    <w:semiHidden/>
    <w:unhideWhenUsed/>
    <w:rsid w:val="004043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392"/>
    <w:rPr>
      <w:rFonts w:ascii="Segoe UI" w:eastAsia="Times New Roman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1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35072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65302570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  <w:divsChild>
            <w:div w:id="455367788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</w:div>
            <w:div w:id="737678506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</w:div>
            <w:div w:id="772046280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1591965062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</w:divsChild>
            </w:div>
          </w:divsChild>
        </w:div>
      </w:divsChild>
    </w:div>
    <w:div w:id="76981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342873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619646715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  <w:divsChild>
            <w:div w:id="14187683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</w:div>
          </w:divsChild>
        </w:div>
      </w:divsChild>
    </w:div>
    <w:div w:id="8164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903292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511218347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  <w:divsChild>
            <w:div w:id="2021813442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</w:div>
            <w:div w:id="126706377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</w:div>
            <w:div w:id="1672217727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1812863561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1772241211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561408045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454838325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868762404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</w:divsChild>
            </w:div>
            <w:div w:id="44111019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</w:div>
            <w:div w:id="1912346134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2053536019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1989895336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658773352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1346663826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321475262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</w:divsChild>
            </w:div>
            <w:div w:id="1166289141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</w:div>
            <w:div w:id="843127014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1664360306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1673141453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1949776432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1821920043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1606574148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989601086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1661077829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</w:divsChild>
            </w:div>
            <w:div w:id="1075779355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</w:div>
            <w:div w:id="133377611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</w:div>
            <w:div w:id="1013259500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360860801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180900280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542063914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533617395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</w:divsChild>
            </w:div>
            <w:div w:id="381637769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</w:div>
            <w:div w:id="1973712439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539245347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1124079384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1922449033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900405587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220218821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1096293561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2077437459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540676482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909316200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</w:divsChild>
            </w:div>
          </w:divsChild>
        </w:div>
      </w:divsChild>
    </w:div>
    <w:div w:id="17347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382649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403573984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  <w:divsChild>
            <w:div w:id="1974482066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</w:div>
            <w:div w:id="1334142278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</w:div>
            <w:div w:id="2012750939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1679699423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1707372118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149059076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602104226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556476785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</w:divsChild>
            </w:div>
            <w:div w:id="1280602102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</w:div>
            <w:div w:id="1016923334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1290015510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1276521670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399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Tunde</cp:lastModifiedBy>
  <cp:revision>36</cp:revision>
  <cp:lastPrinted>2022-05-26T09:36:00Z</cp:lastPrinted>
  <dcterms:created xsi:type="dcterms:W3CDTF">2022-04-14T12:54:00Z</dcterms:created>
  <dcterms:modified xsi:type="dcterms:W3CDTF">2022-05-26T09:36:00Z</dcterms:modified>
</cp:coreProperties>
</file>